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A1AD3" w14:textId="77777777" w:rsidR="00536D4A" w:rsidRDefault="00536D4A" w:rsidP="00860F25">
      <w:pPr>
        <w:jc w:val="center"/>
        <w:rPr>
          <w:sz w:val="52"/>
          <w:szCs w:val="52"/>
        </w:rPr>
      </w:pPr>
    </w:p>
    <w:p w14:paraId="70341EF0" w14:textId="77777777" w:rsidR="00536D4A" w:rsidRDefault="00536D4A" w:rsidP="00860F25">
      <w:pPr>
        <w:jc w:val="center"/>
        <w:rPr>
          <w:sz w:val="52"/>
          <w:szCs w:val="52"/>
        </w:rPr>
      </w:pPr>
    </w:p>
    <w:p w14:paraId="1A93DAFF" w14:textId="77777777" w:rsidR="00536D4A" w:rsidRDefault="00536D4A" w:rsidP="00860F25">
      <w:pPr>
        <w:jc w:val="center"/>
        <w:rPr>
          <w:sz w:val="52"/>
          <w:szCs w:val="52"/>
        </w:rPr>
      </w:pPr>
    </w:p>
    <w:p w14:paraId="35451B37" w14:textId="77777777" w:rsidR="000A25F1" w:rsidRDefault="000A25F1" w:rsidP="00860F25">
      <w:pPr>
        <w:jc w:val="center"/>
        <w:rPr>
          <w:sz w:val="52"/>
          <w:szCs w:val="52"/>
        </w:rPr>
      </w:pPr>
    </w:p>
    <w:p w14:paraId="3731D7C3" w14:textId="7A136F09" w:rsidR="00CD0044" w:rsidRPr="00536D4A" w:rsidRDefault="00342CFF" w:rsidP="00860F25">
      <w:pPr>
        <w:jc w:val="center"/>
        <w:rPr>
          <w:b/>
          <w:sz w:val="52"/>
          <w:szCs w:val="52"/>
        </w:rPr>
      </w:pPr>
      <w:r>
        <w:rPr>
          <w:b/>
          <w:sz w:val="52"/>
          <w:szCs w:val="52"/>
        </w:rPr>
        <w:t xml:space="preserve">INFORME GLOSA </w:t>
      </w:r>
      <w:r w:rsidR="00123C97">
        <w:rPr>
          <w:b/>
          <w:sz w:val="52"/>
          <w:szCs w:val="52"/>
        </w:rPr>
        <w:t xml:space="preserve">PROGRAMA </w:t>
      </w:r>
      <w:proofErr w:type="spellStart"/>
      <w:r>
        <w:rPr>
          <w:b/>
          <w:sz w:val="52"/>
          <w:szCs w:val="52"/>
        </w:rPr>
        <w:t>N°</w:t>
      </w:r>
      <w:proofErr w:type="spellEnd"/>
      <w:r>
        <w:rPr>
          <w:b/>
          <w:sz w:val="52"/>
          <w:szCs w:val="52"/>
        </w:rPr>
        <w:t xml:space="preserve"> </w:t>
      </w:r>
      <w:r w:rsidR="00B87A59">
        <w:rPr>
          <w:b/>
          <w:sz w:val="52"/>
          <w:szCs w:val="52"/>
        </w:rPr>
        <w:t>1</w:t>
      </w:r>
    </w:p>
    <w:p w14:paraId="0E2F11F5" w14:textId="77777777" w:rsidR="00536D4A" w:rsidRDefault="00536D4A" w:rsidP="00860F25">
      <w:pPr>
        <w:jc w:val="center"/>
        <w:rPr>
          <w:b/>
          <w:sz w:val="52"/>
          <w:szCs w:val="52"/>
        </w:rPr>
      </w:pPr>
      <w:r w:rsidRPr="00536D4A">
        <w:rPr>
          <w:b/>
          <w:sz w:val="52"/>
          <w:szCs w:val="52"/>
        </w:rPr>
        <w:t>PRESUPUESTO DAVT</w:t>
      </w:r>
    </w:p>
    <w:p w14:paraId="3ED0ADBC" w14:textId="77777777" w:rsidR="000542A3" w:rsidRDefault="000542A3" w:rsidP="00860F25">
      <w:pPr>
        <w:jc w:val="center"/>
        <w:rPr>
          <w:b/>
          <w:sz w:val="52"/>
          <w:szCs w:val="52"/>
        </w:rPr>
      </w:pPr>
    </w:p>
    <w:p w14:paraId="66A5D4F2" w14:textId="78B3D499" w:rsidR="00536D4A" w:rsidRDefault="00DC25E6" w:rsidP="00860F25">
      <w:pPr>
        <w:jc w:val="center"/>
        <w:rPr>
          <w:b/>
          <w:sz w:val="52"/>
          <w:szCs w:val="52"/>
        </w:rPr>
      </w:pPr>
      <w:r>
        <w:rPr>
          <w:b/>
          <w:sz w:val="52"/>
          <w:szCs w:val="52"/>
        </w:rPr>
        <w:t>Periodo:</w:t>
      </w:r>
      <w:r w:rsidR="00AD4765">
        <w:rPr>
          <w:b/>
          <w:sz w:val="52"/>
          <w:szCs w:val="52"/>
        </w:rPr>
        <w:t xml:space="preserve"> </w:t>
      </w:r>
      <w:r w:rsidR="003C535D">
        <w:rPr>
          <w:b/>
          <w:sz w:val="52"/>
          <w:szCs w:val="52"/>
        </w:rPr>
        <w:t>julio - septiembre</w:t>
      </w:r>
      <w:r w:rsidR="00B87A59">
        <w:rPr>
          <w:b/>
          <w:sz w:val="52"/>
          <w:szCs w:val="52"/>
        </w:rPr>
        <w:t xml:space="preserve"> 2024</w:t>
      </w:r>
    </w:p>
    <w:p w14:paraId="02E724FB" w14:textId="77777777" w:rsidR="00536D4A" w:rsidRDefault="00536D4A" w:rsidP="00860F25">
      <w:pPr>
        <w:jc w:val="center"/>
        <w:rPr>
          <w:b/>
          <w:sz w:val="52"/>
          <w:szCs w:val="52"/>
        </w:rPr>
      </w:pPr>
    </w:p>
    <w:p w14:paraId="78825539" w14:textId="77777777" w:rsidR="00536D4A" w:rsidRDefault="00536D4A" w:rsidP="00860F25">
      <w:pPr>
        <w:jc w:val="center"/>
        <w:rPr>
          <w:b/>
          <w:sz w:val="52"/>
          <w:szCs w:val="52"/>
        </w:rPr>
      </w:pPr>
    </w:p>
    <w:p w14:paraId="3B0C53B6" w14:textId="77777777" w:rsidR="00860F25" w:rsidRPr="00860F25" w:rsidRDefault="00860F25" w:rsidP="00860F25">
      <w:pPr>
        <w:jc w:val="center"/>
        <w:rPr>
          <w:b/>
          <w:sz w:val="16"/>
          <w:szCs w:val="16"/>
        </w:rPr>
      </w:pPr>
      <w:r>
        <w:rPr>
          <w:b/>
          <w:sz w:val="52"/>
          <w:szCs w:val="52"/>
        </w:rPr>
        <w:br w:type="page"/>
      </w:r>
    </w:p>
    <w:p w14:paraId="62F43C2A" w14:textId="77777777" w:rsidR="00860F25" w:rsidRPr="00860F25" w:rsidRDefault="00601695" w:rsidP="0059317A">
      <w:pPr>
        <w:numPr>
          <w:ilvl w:val="0"/>
          <w:numId w:val="1"/>
        </w:numPr>
        <w:spacing w:line="240" w:lineRule="auto"/>
        <w:jc w:val="both"/>
        <w:rPr>
          <w:b/>
          <w:color w:val="365F91"/>
          <w:sz w:val="28"/>
          <w:szCs w:val="28"/>
        </w:rPr>
      </w:pPr>
      <w:r w:rsidRPr="000542A3">
        <w:rPr>
          <w:b/>
          <w:color w:val="365F91"/>
          <w:sz w:val="28"/>
          <w:szCs w:val="28"/>
        </w:rPr>
        <w:lastRenderedPageBreak/>
        <w:t>Introducción</w:t>
      </w:r>
    </w:p>
    <w:p w14:paraId="4EB5094C" w14:textId="5F5D2F4E" w:rsidR="00A15D85" w:rsidRDefault="0084750C" w:rsidP="0059317A">
      <w:pPr>
        <w:spacing w:line="240" w:lineRule="auto"/>
        <w:jc w:val="both"/>
        <w:rPr>
          <w:rFonts w:cs="Calibri"/>
          <w:sz w:val="24"/>
          <w:szCs w:val="24"/>
        </w:rPr>
      </w:pPr>
      <w:r w:rsidRPr="005A2CD6">
        <w:rPr>
          <w:rFonts w:cs="Calibri"/>
          <w:sz w:val="24"/>
          <w:szCs w:val="24"/>
        </w:rPr>
        <w:t xml:space="preserve">El presente </w:t>
      </w:r>
      <w:r w:rsidR="00B361EA" w:rsidRPr="005A2CD6">
        <w:rPr>
          <w:rFonts w:cs="Calibri"/>
          <w:sz w:val="24"/>
          <w:szCs w:val="24"/>
        </w:rPr>
        <w:t>I</w:t>
      </w:r>
      <w:r w:rsidRPr="005A2CD6">
        <w:rPr>
          <w:rFonts w:cs="Calibri"/>
          <w:sz w:val="24"/>
          <w:szCs w:val="24"/>
        </w:rPr>
        <w:t xml:space="preserve">nforme, elaborado en el contexto de la </w:t>
      </w:r>
      <w:r w:rsidR="00B86024" w:rsidRPr="005A2CD6">
        <w:rPr>
          <w:rFonts w:cs="Calibri"/>
          <w:sz w:val="24"/>
          <w:szCs w:val="24"/>
        </w:rPr>
        <w:t>Ley N°21.</w:t>
      </w:r>
      <w:r w:rsidR="00D20293">
        <w:rPr>
          <w:rFonts w:cs="Calibri"/>
          <w:sz w:val="24"/>
          <w:szCs w:val="24"/>
        </w:rPr>
        <w:t>640</w:t>
      </w:r>
      <w:r w:rsidR="00B86024" w:rsidRPr="005A2CD6">
        <w:rPr>
          <w:rFonts w:cs="Calibri"/>
          <w:sz w:val="24"/>
          <w:szCs w:val="24"/>
        </w:rPr>
        <w:t xml:space="preserve"> de Presupuestos para el Sector Público año 202</w:t>
      </w:r>
      <w:r w:rsidR="00B87A59">
        <w:rPr>
          <w:rFonts w:cs="Calibri"/>
          <w:sz w:val="24"/>
          <w:szCs w:val="24"/>
        </w:rPr>
        <w:t>4</w:t>
      </w:r>
      <w:r w:rsidRPr="005A2CD6">
        <w:rPr>
          <w:rFonts w:cs="Calibri"/>
          <w:sz w:val="24"/>
          <w:szCs w:val="24"/>
        </w:rPr>
        <w:t xml:space="preserve">, tiene por objeto dar cumplimiento a lo </w:t>
      </w:r>
      <w:r w:rsidR="005779B9" w:rsidRPr="005A2CD6">
        <w:rPr>
          <w:rFonts w:cs="Calibri"/>
          <w:sz w:val="24"/>
          <w:szCs w:val="24"/>
        </w:rPr>
        <w:t xml:space="preserve">dispuesto en la </w:t>
      </w:r>
      <w:r w:rsidR="005779B9" w:rsidRPr="005A2CD6">
        <w:rPr>
          <w:rFonts w:cs="Calibri"/>
          <w:b/>
          <w:sz w:val="24"/>
          <w:szCs w:val="24"/>
        </w:rPr>
        <w:t>G</w:t>
      </w:r>
      <w:r w:rsidR="00F57DB3" w:rsidRPr="005A2CD6">
        <w:rPr>
          <w:rFonts w:cs="Calibri"/>
          <w:b/>
          <w:sz w:val="24"/>
          <w:szCs w:val="24"/>
        </w:rPr>
        <w:t xml:space="preserve">losa </w:t>
      </w:r>
      <w:r w:rsidR="00405F65" w:rsidRPr="005A2CD6">
        <w:rPr>
          <w:rFonts w:cs="Calibri"/>
          <w:b/>
          <w:sz w:val="24"/>
          <w:szCs w:val="24"/>
        </w:rPr>
        <w:t>P</w:t>
      </w:r>
      <w:r w:rsidR="008053C1" w:rsidRPr="005A2CD6">
        <w:rPr>
          <w:rFonts w:cs="Calibri"/>
          <w:b/>
          <w:sz w:val="24"/>
          <w:szCs w:val="24"/>
        </w:rPr>
        <w:t xml:space="preserve">rograma </w:t>
      </w:r>
      <w:r w:rsidR="00123C97" w:rsidRPr="005A2CD6">
        <w:rPr>
          <w:rFonts w:cs="Calibri"/>
          <w:b/>
          <w:sz w:val="24"/>
          <w:szCs w:val="24"/>
        </w:rPr>
        <w:t>N°</w:t>
      </w:r>
      <w:r w:rsidR="00B87A59">
        <w:rPr>
          <w:rFonts w:cs="Calibri"/>
          <w:b/>
          <w:sz w:val="24"/>
          <w:szCs w:val="24"/>
        </w:rPr>
        <w:t>1</w:t>
      </w:r>
      <w:r w:rsidR="005779B9" w:rsidRPr="005A2CD6">
        <w:rPr>
          <w:rFonts w:cs="Calibri"/>
          <w:sz w:val="24"/>
          <w:szCs w:val="24"/>
        </w:rPr>
        <w:t xml:space="preserve"> que regula </w:t>
      </w:r>
      <w:r w:rsidRPr="005A2CD6">
        <w:rPr>
          <w:rFonts w:cs="Calibri"/>
          <w:sz w:val="24"/>
          <w:szCs w:val="24"/>
        </w:rPr>
        <w:t xml:space="preserve">el presupuesto del Ministerio Público, </w:t>
      </w:r>
      <w:r w:rsidR="00B361EA" w:rsidRPr="005A2CD6">
        <w:rPr>
          <w:rFonts w:cs="Calibri"/>
          <w:sz w:val="24"/>
          <w:szCs w:val="24"/>
        </w:rPr>
        <w:t xml:space="preserve">y que se encuentra expresada </w:t>
      </w:r>
      <w:r w:rsidR="00301EF9" w:rsidRPr="005A2CD6">
        <w:rPr>
          <w:rFonts w:cs="Calibri"/>
          <w:sz w:val="24"/>
          <w:szCs w:val="24"/>
        </w:rPr>
        <w:t>en los siguientes términos:</w:t>
      </w:r>
    </w:p>
    <w:p w14:paraId="2AC023A0" w14:textId="77777777" w:rsidR="002B7BB9" w:rsidRDefault="002B7BB9" w:rsidP="0059317A">
      <w:pPr>
        <w:spacing w:line="240" w:lineRule="auto"/>
        <w:jc w:val="both"/>
        <w:rPr>
          <w:rFonts w:cs="Calibri"/>
          <w:sz w:val="24"/>
          <w:szCs w:val="24"/>
        </w:rPr>
      </w:pP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7"/>
      </w:tblGrid>
      <w:tr w:rsidR="00301EF9" w:rsidRPr="004C73CA" w14:paraId="139DEF4C" w14:textId="77777777" w:rsidTr="001560EC">
        <w:trPr>
          <w:trHeight w:val="3536"/>
          <w:jc w:val="center"/>
        </w:trPr>
        <w:tc>
          <w:tcPr>
            <w:tcW w:w="8807" w:type="dxa"/>
            <w:shd w:val="clear" w:color="auto" w:fill="auto"/>
          </w:tcPr>
          <w:p w14:paraId="763D81B5" w14:textId="77777777" w:rsidR="00B87A59" w:rsidRPr="00B87A59" w:rsidRDefault="00B87A59" w:rsidP="00B87A59">
            <w:pPr>
              <w:spacing w:line="240" w:lineRule="auto"/>
              <w:jc w:val="both"/>
              <w:rPr>
                <w:b/>
                <w:i/>
                <w:sz w:val="24"/>
                <w:szCs w:val="24"/>
              </w:rPr>
            </w:pPr>
            <w:r w:rsidRPr="00B87A59">
              <w:rPr>
                <w:b/>
                <w:i/>
                <w:sz w:val="24"/>
                <w:szCs w:val="24"/>
              </w:rPr>
              <w:t xml:space="preserve">Incluye $ 5.478.839 miles, destinados a financiar gastos por concepto de aplicación del artículo 1º de la Ley N.º 19.640, orgánica constitucional del Ministerio Público, que corresponderá a la adopción de medidas para proteger a las víctimas y a los testigos. Para lo anterior, el </w:t>
            </w:r>
            <w:proofErr w:type="gramStart"/>
            <w:r w:rsidRPr="00B87A59">
              <w:rPr>
                <w:b/>
                <w:i/>
                <w:sz w:val="24"/>
                <w:szCs w:val="24"/>
              </w:rPr>
              <w:t>Fiscal Nacional</w:t>
            </w:r>
            <w:proofErr w:type="gramEnd"/>
            <w:r w:rsidRPr="00B87A59">
              <w:rPr>
                <w:b/>
                <w:i/>
                <w:sz w:val="24"/>
                <w:szCs w:val="24"/>
              </w:rPr>
              <w:t xml:space="preserve"> podrá destinar extraordinariamente fiscales y funcionarios de la Fiscalía Nacional u otras fiscalías regionales a la Macrozona Sur.</w:t>
            </w:r>
          </w:p>
          <w:p w14:paraId="48F5AA95" w14:textId="77777777" w:rsidR="00207F6B" w:rsidRPr="004C73CA" w:rsidRDefault="00207F6B" w:rsidP="00207F6B">
            <w:pPr>
              <w:spacing w:line="240" w:lineRule="auto"/>
              <w:jc w:val="both"/>
              <w:rPr>
                <w:sz w:val="24"/>
                <w:szCs w:val="24"/>
              </w:rPr>
            </w:pPr>
            <w:r w:rsidRPr="00B86024">
              <w:rPr>
                <w:b/>
                <w:i/>
                <w:sz w:val="24"/>
                <w:szCs w:val="24"/>
              </w:rPr>
              <w:t>El Ministerio Público deberá informar trimestralmente a la Comisión Especial Mixta de Presupuestos los recursos dispuestos para la implementación de las medidas destinadas a la protección de víctimas y sus familias frente a probables hostigamientos, amenazas o atentados. Tratándose de medidas que requieran la presencia permanente de funcionarios policiales, se deberán informar las condiciones de seguridad y habitabilidad dispuestas para que ellas sean llevadas a cabo en forma eficiente.</w:t>
            </w:r>
          </w:p>
        </w:tc>
      </w:tr>
    </w:tbl>
    <w:p w14:paraId="2CF1EFEE" w14:textId="77777777" w:rsidR="00301EF9" w:rsidRDefault="00301EF9" w:rsidP="0059317A">
      <w:pPr>
        <w:spacing w:line="240" w:lineRule="auto"/>
        <w:jc w:val="both"/>
        <w:rPr>
          <w:sz w:val="24"/>
          <w:szCs w:val="24"/>
        </w:rPr>
      </w:pPr>
    </w:p>
    <w:p w14:paraId="588E5593" w14:textId="77777777" w:rsidR="00B361EA" w:rsidRDefault="00B361EA" w:rsidP="0059317A">
      <w:pPr>
        <w:spacing w:line="240" w:lineRule="auto"/>
        <w:jc w:val="both"/>
        <w:rPr>
          <w:sz w:val="24"/>
          <w:szCs w:val="24"/>
        </w:rPr>
      </w:pPr>
      <w:r>
        <w:rPr>
          <w:sz w:val="24"/>
          <w:szCs w:val="24"/>
        </w:rPr>
        <w:t>De esta manera, el Informe se abordará considerando la información relativa a:</w:t>
      </w:r>
    </w:p>
    <w:p w14:paraId="6775D99E" w14:textId="77777777" w:rsidR="00B361EA" w:rsidRDefault="00B361EA" w:rsidP="0059317A">
      <w:pPr>
        <w:spacing w:line="240" w:lineRule="auto"/>
        <w:jc w:val="both"/>
        <w:rPr>
          <w:sz w:val="24"/>
          <w:szCs w:val="24"/>
        </w:rPr>
      </w:pPr>
      <w:r>
        <w:rPr>
          <w:sz w:val="24"/>
          <w:szCs w:val="24"/>
        </w:rPr>
        <w:t>1. L</w:t>
      </w:r>
      <w:r w:rsidR="0084750C" w:rsidRPr="00DC708E">
        <w:rPr>
          <w:sz w:val="24"/>
          <w:szCs w:val="24"/>
        </w:rPr>
        <w:t xml:space="preserve">os recursos </w:t>
      </w:r>
      <w:r w:rsidR="00F57DB3">
        <w:rPr>
          <w:sz w:val="24"/>
          <w:szCs w:val="24"/>
        </w:rPr>
        <w:t xml:space="preserve">destinados a financiar gastos por concepto de aplicación del artículo </w:t>
      </w:r>
      <w:proofErr w:type="spellStart"/>
      <w:r w:rsidR="00F57DB3">
        <w:rPr>
          <w:sz w:val="24"/>
          <w:szCs w:val="24"/>
        </w:rPr>
        <w:t>N°</w:t>
      </w:r>
      <w:proofErr w:type="spellEnd"/>
      <w:r w:rsidR="00F57DB3">
        <w:rPr>
          <w:sz w:val="24"/>
          <w:szCs w:val="24"/>
        </w:rPr>
        <w:t xml:space="preserve"> 1 de la ley </w:t>
      </w:r>
      <w:proofErr w:type="spellStart"/>
      <w:r w:rsidR="00F57DB3">
        <w:rPr>
          <w:sz w:val="24"/>
          <w:szCs w:val="24"/>
        </w:rPr>
        <w:t>N°</w:t>
      </w:r>
      <w:proofErr w:type="spellEnd"/>
      <w:r w:rsidR="00F57DB3">
        <w:rPr>
          <w:sz w:val="24"/>
          <w:szCs w:val="24"/>
        </w:rPr>
        <w:t xml:space="preserve"> 19.640, Orgánica Constitucional del Ministerio Público, que corresponde a la adopción de medidas para proteger a las v</w:t>
      </w:r>
      <w:r w:rsidR="008053C1">
        <w:rPr>
          <w:sz w:val="24"/>
          <w:szCs w:val="24"/>
        </w:rPr>
        <w:t>íctimas y testigos</w:t>
      </w:r>
      <w:r>
        <w:rPr>
          <w:sz w:val="24"/>
          <w:szCs w:val="24"/>
        </w:rPr>
        <w:t>.</w:t>
      </w:r>
    </w:p>
    <w:p w14:paraId="2F2A6DD9" w14:textId="77777777" w:rsidR="00B361EA" w:rsidRDefault="00B361EA" w:rsidP="0059317A">
      <w:pPr>
        <w:spacing w:line="240" w:lineRule="auto"/>
        <w:jc w:val="both"/>
        <w:rPr>
          <w:sz w:val="24"/>
          <w:szCs w:val="24"/>
        </w:rPr>
      </w:pPr>
      <w:r>
        <w:rPr>
          <w:sz w:val="24"/>
          <w:szCs w:val="24"/>
        </w:rPr>
        <w:t xml:space="preserve">2. </w:t>
      </w:r>
      <w:r w:rsidR="008053C1">
        <w:rPr>
          <w:sz w:val="24"/>
          <w:szCs w:val="24"/>
        </w:rPr>
        <w:t xml:space="preserve"> </w:t>
      </w:r>
      <w:r>
        <w:rPr>
          <w:sz w:val="24"/>
          <w:szCs w:val="24"/>
        </w:rPr>
        <w:t>L</w:t>
      </w:r>
      <w:r w:rsidR="008053C1">
        <w:rPr>
          <w:sz w:val="24"/>
          <w:szCs w:val="24"/>
        </w:rPr>
        <w:t xml:space="preserve">os recursos </w:t>
      </w:r>
      <w:r w:rsidR="0084750C" w:rsidRPr="00DC708E">
        <w:rPr>
          <w:sz w:val="24"/>
          <w:szCs w:val="24"/>
        </w:rPr>
        <w:t>dispuestos para la implementación de las medidas destinadas a la protección de las víctimas</w:t>
      </w:r>
      <w:r w:rsidR="00E96C6C">
        <w:rPr>
          <w:sz w:val="24"/>
          <w:szCs w:val="24"/>
        </w:rPr>
        <w:t>, testigos y peritos</w:t>
      </w:r>
      <w:r w:rsidR="0084750C" w:rsidRPr="00DC708E">
        <w:rPr>
          <w:sz w:val="24"/>
          <w:szCs w:val="24"/>
        </w:rPr>
        <w:t xml:space="preserve"> frente a probables hostigamiento</w:t>
      </w:r>
      <w:r w:rsidR="00302442">
        <w:rPr>
          <w:sz w:val="24"/>
          <w:szCs w:val="24"/>
        </w:rPr>
        <w:t>s</w:t>
      </w:r>
      <w:r w:rsidR="0084750C" w:rsidRPr="00DC708E">
        <w:rPr>
          <w:sz w:val="24"/>
          <w:szCs w:val="24"/>
        </w:rPr>
        <w:t xml:space="preserve">, amenazas o atentados. </w:t>
      </w:r>
      <w:r w:rsidR="005977C2">
        <w:rPr>
          <w:sz w:val="24"/>
          <w:szCs w:val="24"/>
        </w:rPr>
        <w:t xml:space="preserve"> </w:t>
      </w:r>
    </w:p>
    <w:p w14:paraId="09C4E372" w14:textId="77777777" w:rsidR="00B16F37" w:rsidRDefault="00B361EA" w:rsidP="0059317A">
      <w:pPr>
        <w:spacing w:line="240" w:lineRule="auto"/>
        <w:jc w:val="both"/>
        <w:rPr>
          <w:b/>
          <w:sz w:val="24"/>
          <w:szCs w:val="24"/>
        </w:rPr>
      </w:pPr>
      <w:r>
        <w:rPr>
          <w:sz w:val="24"/>
          <w:szCs w:val="24"/>
        </w:rPr>
        <w:t xml:space="preserve">3. Referencia a las </w:t>
      </w:r>
      <w:r w:rsidR="0084750C" w:rsidRPr="00DC708E">
        <w:rPr>
          <w:sz w:val="24"/>
          <w:szCs w:val="24"/>
        </w:rPr>
        <w:t xml:space="preserve">medidas que requieran la presencia permanente de funcionarios policiales, </w:t>
      </w:r>
      <w:r>
        <w:rPr>
          <w:sz w:val="24"/>
          <w:szCs w:val="24"/>
        </w:rPr>
        <w:t xml:space="preserve">respecto de las cuales en la Glosa </w:t>
      </w:r>
      <w:r w:rsidR="0084750C" w:rsidRPr="00DC708E">
        <w:rPr>
          <w:sz w:val="24"/>
          <w:szCs w:val="24"/>
        </w:rPr>
        <w:t xml:space="preserve">se </w:t>
      </w:r>
      <w:r w:rsidR="0022779C">
        <w:rPr>
          <w:sz w:val="24"/>
          <w:szCs w:val="24"/>
        </w:rPr>
        <w:t xml:space="preserve">solicita </w:t>
      </w:r>
      <w:r>
        <w:rPr>
          <w:sz w:val="24"/>
          <w:szCs w:val="24"/>
        </w:rPr>
        <w:t>e</w:t>
      </w:r>
      <w:r w:rsidR="0084750C" w:rsidRPr="00DC708E">
        <w:rPr>
          <w:sz w:val="24"/>
          <w:szCs w:val="24"/>
        </w:rPr>
        <w:t xml:space="preserve"> informar respecto de las condiciones de seguridad y habitabilidad dispuestas para que ellas sean llevadas a cabo en forma eficiente.</w:t>
      </w:r>
      <w:r w:rsidRPr="00B361EA">
        <w:rPr>
          <w:b/>
          <w:sz w:val="24"/>
          <w:szCs w:val="24"/>
        </w:rPr>
        <w:t xml:space="preserve"> </w:t>
      </w:r>
    </w:p>
    <w:p w14:paraId="61563613" w14:textId="4801A34E" w:rsidR="00601695" w:rsidRDefault="00601695" w:rsidP="0059317A">
      <w:pPr>
        <w:spacing w:line="240" w:lineRule="auto"/>
        <w:jc w:val="both"/>
        <w:rPr>
          <w:rFonts w:cs="Calibri"/>
          <w:b/>
          <w:color w:val="595959"/>
          <w:sz w:val="24"/>
          <w:szCs w:val="24"/>
        </w:rPr>
      </w:pPr>
      <w:proofErr w:type="gramStart"/>
      <w:r w:rsidRPr="00CB3C6B">
        <w:rPr>
          <w:rFonts w:cs="Calibri"/>
          <w:sz w:val="24"/>
          <w:szCs w:val="24"/>
        </w:rPr>
        <w:t>El periodo a informar</w:t>
      </w:r>
      <w:proofErr w:type="gramEnd"/>
      <w:r w:rsidRPr="00CB3C6B">
        <w:rPr>
          <w:rFonts w:cs="Calibri"/>
          <w:sz w:val="24"/>
          <w:szCs w:val="24"/>
        </w:rPr>
        <w:t xml:space="preserve"> comprende desde </w:t>
      </w:r>
      <w:r w:rsidR="0084750C" w:rsidRPr="00CB3C6B">
        <w:rPr>
          <w:rFonts w:cs="Calibri"/>
          <w:sz w:val="24"/>
          <w:szCs w:val="24"/>
        </w:rPr>
        <w:t xml:space="preserve">el </w:t>
      </w:r>
      <w:r w:rsidR="00E505D6">
        <w:rPr>
          <w:rFonts w:cs="Calibri"/>
          <w:b/>
          <w:sz w:val="24"/>
          <w:szCs w:val="24"/>
        </w:rPr>
        <w:t>01</w:t>
      </w:r>
      <w:r w:rsidR="00B86024">
        <w:rPr>
          <w:rFonts w:cs="Calibri"/>
          <w:b/>
          <w:sz w:val="24"/>
          <w:szCs w:val="24"/>
        </w:rPr>
        <w:t xml:space="preserve"> de </w:t>
      </w:r>
      <w:r w:rsidR="003C535D">
        <w:rPr>
          <w:rFonts w:cs="Calibri"/>
          <w:b/>
          <w:sz w:val="24"/>
          <w:szCs w:val="24"/>
        </w:rPr>
        <w:t>julio</w:t>
      </w:r>
      <w:r w:rsidR="00B87A59">
        <w:rPr>
          <w:rFonts w:cs="Calibri"/>
          <w:b/>
          <w:sz w:val="24"/>
          <w:szCs w:val="24"/>
        </w:rPr>
        <w:t xml:space="preserve"> al 3</w:t>
      </w:r>
      <w:r w:rsidR="00661BA2">
        <w:rPr>
          <w:rFonts w:cs="Calibri"/>
          <w:b/>
          <w:sz w:val="24"/>
          <w:szCs w:val="24"/>
        </w:rPr>
        <w:t>0</w:t>
      </w:r>
      <w:r w:rsidR="00B87A59">
        <w:rPr>
          <w:rFonts w:cs="Calibri"/>
          <w:b/>
          <w:sz w:val="24"/>
          <w:szCs w:val="24"/>
        </w:rPr>
        <w:t xml:space="preserve"> de </w:t>
      </w:r>
      <w:r w:rsidR="003C535D">
        <w:rPr>
          <w:rFonts w:cs="Calibri"/>
          <w:b/>
          <w:sz w:val="24"/>
          <w:szCs w:val="24"/>
        </w:rPr>
        <w:t>septiembre</w:t>
      </w:r>
      <w:r w:rsidR="00B87A59">
        <w:rPr>
          <w:rFonts w:cs="Calibri"/>
          <w:b/>
          <w:sz w:val="24"/>
          <w:szCs w:val="24"/>
        </w:rPr>
        <w:t xml:space="preserve"> de 2024</w:t>
      </w:r>
      <w:r w:rsidRPr="00601695">
        <w:rPr>
          <w:rFonts w:cs="Calibri"/>
          <w:b/>
          <w:color w:val="595959"/>
          <w:sz w:val="24"/>
          <w:szCs w:val="24"/>
        </w:rPr>
        <w:t>.</w:t>
      </w:r>
    </w:p>
    <w:p w14:paraId="43655071" w14:textId="77777777" w:rsidR="00860F25" w:rsidRDefault="00860F25" w:rsidP="0059317A">
      <w:pPr>
        <w:spacing w:line="240" w:lineRule="auto"/>
        <w:jc w:val="both"/>
        <w:rPr>
          <w:b/>
          <w:color w:val="365F91"/>
          <w:sz w:val="28"/>
          <w:szCs w:val="28"/>
        </w:rPr>
      </w:pPr>
    </w:p>
    <w:p w14:paraId="3BCDF874" w14:textId="77777777" w:rsidR="00985FB3" w:rsidRDefault="00985FB3" w:rsidP="0059317A">
      <w:pPr>
        <w:spacing w:line="240" w:lineRule="auto"/>
        <w:jc w:val="both"/>
        <w:rPr>
          <w:b/>
          <w:color w:val="365F91"/>
          <w:sz w:val="28"/>
          <w:szCs w:val="28"/>
        </w:rPr>
      </w:pPr>
    </w:p>
    <w:p w14:paraId="6CF62017" w14:textId="77777777" w:rsidR="00985FB3" w:rsidRDefault="00985FB3" w:rsidP="0059317A">
      <w:pPr>
        <w:spacing w:line="240" w:lineRule="auto"/>
        <w:jc w:val="both"/>
        <w:rPr>
          <w:b/>
          <w:color w:val="365F91"/>
          <w:sz w:val="28"/>
          <w:szCs w:val="28"/>
        </w:rPr>
      </w:pPr>
    </w:p>
    <w:p w14:paraId="20CBDB37" w14:textId="2E722B5B" w:rsidR="0084750C" w:rsidRPr="00A15D85" w:rsidRDefault="00860F25" w:rsidP="0059317A">
      <w:pPr>
        <w:spacing w:line="240" w:lineRule="auto"/>
        <w:jc w:val="both"/>
        <w:rPr>
          <w:b/>
          <w:color w:val="365F91"/>
          <w:sz w:val="28"/>
          <w:szCs w:val="28"/>
        </w:rPr>
      </w:pPr>
      <w:r>
        <w:rPr>
          <w:b/>
          <w:color w:val="365F91"/>
          <w:sz w:val="28"/>
          <w:szCs w:val="28"/>
        </w:rPr>
        <w:t>2</w:t>
      </w:r>
      <w:r w:rsidR="0035148E">
        <w:rPr>
          <w:b/>
          <w:color w:val="365F91"/>
          <w:sz w:val="28"/>
          <w:szCs w:val="28"/>
        </w:rPr>
        <w:t>.</w:t>
      </w:r>
      <w:r w:rsidR="00A15D85">
        <w:rPr>
          <w:b/>
          <w:color w:val="365F91"/>
          <w:sz w:val="28"/>
          <w:szCs w:val="28"/>
        </w:rPr>
        <w:t xml:space="preserve"> </w:t>
      </w:r>
      <w:r w:rsidR="0084750C" w:rsidRPr="0035148E">
        <w:rPr>
          <w:b/>
          <w:color w:val="365F91"/>
          <w:sz w:val="28"/>
          <w:szCs w:val="28"/>
        </w:rPr>
        <w:t>R</w:t>
      </w:r>
      <w:r w:rsidR="00041F01" w:rsidRPr="0035148E">
        <w:rPr>
          <w:b/>
          <w:color w:val="365F91"/>
          <w:sz w:val="28"/>
          <w:szCs w:val="28"/>
        </w:rPr>
        <w:t xml:space="preserve">ecursos destinados a financiar gastos por concepto de aplicación del </w:t>
      </w:r>
      <w:r w:rsidR="00AE289B" w:rsidRPr="0035148E">
        <w:rPr>
          <w:b/>
          <w:color w:val="365F91"/>
          <w:sz w:val="28"/>
          <w:szCs w:val="28"/>
        </w:rPr>
        <w:t>artículo</w:t>
      </w:r>
      <w:r w:rsidR="00041F01" w:rsidRPr="0035148E">
        <w:rPr>
          <w:b/>
          <w:color w:val="365F91"/>
          <w:sz w:val="28"/>
          <w:szCs w:val="28"/>
        </w:rPr>
        <w:t xml:space="preserve"> 1° de la ley </w:t>
      </w:r>
      <w:proofErr w:type="spellStart"/>
      <w:r w:rsidR="00041F01" w:rsidRPr="0035148E">
        <w:rPr>
          <w:b/>
          <w:color w:val="365F91"/>
          <w:sz w:val="28"/>
          <w:szCs w:val="28"/>
        </w:rPr>
        <w:t>N°</w:t>
      </w:r>
      <w:proofErr w:type="spellEnd"/>
      <w:r w:rsidR="00041F01" w:rsidRPr="0035148E">
        <w:rPr>
          <w:b/>
          <w:color w:val="365F91"/>
          <w:sz w:val="28"/>
          <w:szCs w:val="28"/>
        </w:rPr>
        <w:t xml:space="preserve"> 19.640, </w:t>
      </w:r>
      <w:r w:rsidR="00AE289B" w:rsidRPr="0035148E">
        <w:rPr>
          <w:b/>
          <w:color w:val="365F91"/>
          <w:sz w:val="28"/>
          <w:szCs w:val="28"/>
        </w:rPr>
        <w:t>O</w:t>
      </w:r>
      <w:r w:rsidR="00041F01" w:rsidRPr="0035148E">
        <w:rPr>
          <w:b/>
          <w:color w:val="365F91"/>
          <w:sz w:val="28"/>
          <w:szCs w:val="28"/>
        </w:rPr>
        <w:t>rgánica Constitucional del Ministerio Público, que corresponde a la adopción de medidas para proteger a las víctimas y los testigos.</w:t>
      </w:r>
    </w:p>
    <w:p w14:paraId="47A5907E" w14:textId="72998B2E" w:rsidR="0084750C" w:rsidRDefault="0084750C" w:rsidP="0059317A">
      <w:pPr>
        <w:spacing w:line="240" w:lineRule="auto"/>
        <w:jc w:val="both"/>
        <w:rPr>
          <w:sz w:val="24"/>
          <w:szCs w:val="24"/>
        </w:rPr>
      </w:pPr>
      <w:r>
        <w:rPr>
          <w:sz w:val="24"/>
          <w:szCs w:val="24"/>
        </w:rPr>
        <w:t xml:space="preserve">Los recursos dispuestos anualmente por la </w:t>
      </w:r>
      <w:r w:rsidR="0022779C">
        <w:rPr>
          <w:sz w:val="24"/>
          <w:szCs w:val="24"/>
        </w:rPr>
        <w:t>L</w:t>
      </w:r>
      <w:r>
        <w:rPr>
          <w:sz w:val="24"/>
          <w:szCs w:val="24"/>
        </w:rPr>
        <w:t xml:space="preserve">ey de </w:t>
      </w:r>
      <w:r w:rsidR="0022779C">
        <w:rPr>
          <w:sz w:val="24"/>
          <w:szCs w:val="24"/>
        </w:rPr>
        <w:t>P</w:t>
      </w:r>
      <w:r>
        <w:rPr>
          <w:sz w:val="24"/>
          <w:szCs w:val="24"/>
        </w:rPr>
        <w:t xml:space="preserve">resupuestos para que el Ministerio Público pueda cumplir con su función constitucional y legal de adoptar medidas de protección para las víctimas y </w:t>
      </w:r>
      <w:r w:rsidR="00275523">
        <w:rPr>
          <w:sz w:val="24"/>
          <w:szCs w:val="24"/>
        </w:rPr>
        <w:t>testigos</w:t>
      </w:r>
      <w:r>
        <w:rPr>
          <w:sz w:val="24"/>
          <w:szCs w:val="24"/>
        </w:rPr>
        <w:t xml:space="preserve"> están asignados en un ítem de su presupuesto denominado “Fondo de Aportes Económicos para Víctimas y Testigos”. La administración de este Fondo se regula en el Reglamento de Aportes Económicos </w:t>
      </w:r>
      <w:r w:rsidR="0022779C">
        <w:rPr>
          <w:sz w:val="24"/>
          <w:szCs w:val="24"/>
        </w:rPr>
        <w:t xml:space="preserve">del Ministerio Público </w:t>
      </w:r>
      <w:r>
        <w:rPr>
          <w:sz w:val="24"/>
          <w:szCs w:val="24"/>
        </w:rPr>
        <w:t xml:space="preserve">a Víctimas y Testigos, el cual distingue dos grandes categorías de prestaciones según la finalidad que persiguen, correspondiendo una a Protección y la otra a Apoyo. </w:t>
      </w:r>
    </w:p>
    <w:p w14:paraId="35A4FE80" w14:textId="77777777" w:rsidR="00041F01" w:rsidRDefault="0084750C" w:rsidP="0059317A">
      <w:pPr>
        <w:spacing w:line="240" w:lineRule="auto"/>
        <w:jc w:val="both"/>
        <w:rPr>
          <w:sz w:val="24"/>
          <w:szCs w:val="24"/>
        </w:rPr>
      </w:pPr>
      <w:r>
        <w:rPr>
          <w:sz w:val="24"/>
          <w:szCs w:val="24"/>
        </w:rPr>
        <w:t xml:space="preserve">Las prestaciones por Protección </w:t>
      </w:r>
      <w:r w:rsidR="00D83CF6" w:rsidRPr="00E96C6C">
        <w:rPr>
          <w:sz w:val="24"/>
          <w:szCs w:val="24"/>
        </w:rPr>
        <w:t xml:space="preserve">se entregan a </w:t>
      </w:r>
      <w:r w:rsidR="00D83CF6" w:rsidRPr="0035148E">
        <w:rPr>
          <w:sz w:val="24"/>
          <w:szCs w:val="24"/>
        </w:rPr>
        <w:t>aquellas víctimas, testigos y peritos que se encuentren en situación de riesgo por ser, o haber sido, objeto de intimidación, amenazas o atentados</w:t>
      </w:r>
      <w:r w:rsidR="001408A2">
        <w:rPr>
          <w:sz w:val="24"/>
          <w:szCs w:val="24"/>
        </w:rPr>
        <w:t>.</w:t>
      </w:r>
      <w:r>
        <w:rPr>
          <w:sz w:val="24"/>
          <w:szCs w:val="24"/>
        </w:rPr>
        <w:t xml:space="preserve"> </w:t>
      </w:r>
      <w:r w:rsidR="007B617C">
        <w:rPr>
          <w:sz w:val="24"/>
          <w:szCs w:val="24"/>
        </w:rPr>
        <w:t xml:space="preserve">Se clasifican en: </w:t>
      </w:r>
      <w:r>
        <w:rPr>
          <w:sz w:val="24"/>
          <w:szCs w:val="24"/>
        </w:rPr>
        <w:t>Traslados;</w:t>
      </w:r>
      <w:r w:rsidR="007B617C">
        <w:rPr>
          <w:sz w:val="24"/>
          <w:szCs w:val="24"/>
        </w:rPr>
        <w:t xml:space="preserve"> </w:t>
      </w:r>
      <w:r w:rsidR="00AE289B">
        <w:rPr>
          <w:sz w:val="24"/>
          <w:szCs w:val="24"/>
        </w:rPr>
        <w:t>Alimentación en casos de implementación de medidas de protección;</w:t>
      </w:r>
      <w:r w:rsidR="00687094">
        <w:rPr>
          <w:sz w:val="24"/>
          <w:szCs w:val="24"/>
        </w:rPr>
        <w:t xml:space="preserve"> </w:t>
      </w:r>
      <w:r>
        <w:rPr>
          <w:sz w:val="24"/>
          <w:szCs w:val="24"/>
        </w:rPr>
        <w:t>Entrega de elementos</w:t>
      </w:r>
      <w:r w:rsidR="00AE289B">
        <w:rPr>
          <w:sz w:val="24"/>
          <w:szCs w:val="24"/>
        </w:rPr>
        <w:t xml:space="preserve"> de seguridad personal y en vivienda</w:t>
      </w:r>
      <w:r w:rsidR="007B617C">
        <w:rPr>
          <w:sz w:val="24"/>
          <w:szCs w:val="24"/>
        </w:rPr>
        <w:t xml:space="preserve">; </w:t>
      </w:r>
      <w:r>
        <w:rPr>
          <w:sz w:val="24"/>
          <w:szCs w:val="24"/>
        </w:rPr>
        <w:t>Asistencia social</w:t>
      </w:r>
      <w:r w:rsidR="007B617C">
        <w:rPr>
          <w:sz w:val="24"/>
          <w:szCs w:val="24"/>
        </w:rPr>
        <w:t xml:space="preserve">; </w:t>
      </w:r>
      <w:r>
        <w:rPr>
          <w:sz w:val="24"/>
          <w:szCs w:val="24"/>
        </w:rPr>
        <w:t>Atenci</w:t>
      </w:r>
      <w:r w:rsidR="007B617C">
        <w:rPr>
          <w:sz w:val="24"/>
          <w:szCs w:val="24"/>
        </w:rPr>
        <w:t xml:space="preserve">ón psicológica y psiquiátrica; </w:t>
      </w:r>
      <w:r>
        <w:rPr>
          <w:sz w:val="24"/>
          <w:szCs w:val="24"/>
        </w:rPr>
        <w:t>Reub</w:t>
      </w:r>
      <w:r w:rsidR="00041F01">
        <w:rPr>
          <w:sz w:val="24"/>
          <w:szCs w:val="24"/>
        </w:rPr>
        <w:t xml:space="preserve">icación temporal y definitiva; </w:t>
      </w:r>
      <w:r w:rsidR="00AE289B">
        <w:rPr>
          <w:sz w:val="24"/>
          <w:szCs w:val="24"/>
        </w:rPr>
        <w:t>y</w:t>
      </w:r>
      <w:r w:rsidR="007B617C">
        <w:rPr>
          <w:sz w:val="24"/>
          <w:szCs w:val="24"/>
        </w:rPr>
        <w:t xml:space="preserve"> </w:t>
      </w:r>
      <w:r>
        <w:rPr>
          <w:sz w:val="24"/>
          <w:szCs w:val="24"/>
        </w:rPr>
        <w:t>Otras prestaciones que cumpla</w:t>
      </w:r>
      <w:r w:rsidR="00AE289B">
        <w:rPr>
          <w:sz w:val="24"/>
          <w:szCs w:val="24"/>
        </w:rPr>
        <w:t xml:space="preserve">n el objetivo de </w:t>
      </w:r>
      <w:r w:rsidR="00D83CF6">
        <w:rPr>
          <w:sz w:val="24"/>
          <w:szCs w:val="24"/>
        </w:rPr>
        <w:t>bri</w:t>
      </w:r>
      <w:r w:rsidR="00687094">
        <w:rPr>
          <w:sz w:val="24"/>
          <w:szCs w:val="24"/>
        </w:rPr>
        <w:t>n</w:t>
      </w:r>
      <w:r w:rsidR="00AE289B">
        <w:rPr>
          <w:sz w:val="24"/>
          <w:szCs w:val="24"/>
        </w:rPr>
        <w:t>dar protección.</w:t>
      </w:r>
      <w:r w:rsidR="00F4687A" w:rsidRPr="00F4687A">
        <w:rPr>
          <w:sz w:val="23"/>
          <w:szCs w:val="23"/>
        </w:rPr>
        <w:t xml:space="preserve"> </w:t>
      </w:r>
    </w:p>
    <w:p w14:paraId="15C44E58" w14:textId="77777777" w:rsidR="0084750C" w:rsidRDefault="0084750C" w:rsidP="0059317A">
      <w:pPr>
        <w:spacing w:line="240" w:lineRule="auto"/>
        <w:jc w:val="both"/>
        <w:rPr>
          <w:sz w:val="24"/>
          <w:szCs w:val="24"/>
        </w:rPr>
      </w:pPr>
      <w:r>
        <w:rPr>
          <w:sz w:val="24"/>
          <w:szCs w:val="24"/>
        </w:rPr>
        <w:t xml:space="preserve">Por su parte, las prestaciones de Apoyo, cuyo objeto es facilitar la participación de las </w:t>
      </w:r>
      <w:r w:rsidRPr="00F97F39">
        <w:rPr>
          <w:sz w:val="24"/>
          <w:szCs w:val="24"/>
        </w:rPr>
        <w:t>víctimas</w:t>
      </w:r>
      <w:r>
        <w:rPr>
          <w:sz w:val="24"/>
          <w:szCs w:val="24"/>
        </w:rPr>
        <w:t xml:space="preserve"> y testigos en el proceso penal</w:t>
      </w:r>
      <w:r w:rsidR="00D67A2A">
        <w:rPr>
          <w:sz w:val="24"/>
          <w:szCs w:val="24"/>
        </w:rPr>
        <w:t xml:space="preserve"> o, en casos </w:t>
      </w:r>
      <w:r w:rsidR="00687094">
        <w:rPr>
          <w:sz w:val="24"/>
          <w:szCs w:val="24"/>
        </w:rPr>
        <w:t xml:space="preserve">generalmente </w:t>
      </w:r>
      <w:r w:rsidR="00D67A2A">
        <w:rPr>
          <w:sz w:val="24"/>
          <w:szCs w:val="24"/>
        </w:rPr>
        <w:t>excepcionales, las que tienen por objeto</w:t>
      </w:r>
      <w:r w:rsidR="003D1F5A">
        <w:rPr>
          <w:sz w:val="24"/>
          <w:szCs w:val="24"/>
        </w:rPr>
        <w:t xml:space="preserve"> </w:t>
      </w:r>
      <w:r w:rsidR="00D67A2A">
        <w:rPr>
          <w:sz w:val="24"/>
          <w:szCs w:val="24"/>
        </w:rPr>
        <w:t>disminuir las perturbaciones que hubieren de soportar las víctimas que intervengan en un proceso penal</w:t>
      </w:r>
      <w:r w:rsidR="005977C2">
        <w:rPr>
          <w:sz w:val="24"/>
          <w:szCs w:val="24"/>
        </w:rPr>
        <w:t xml:space="preserve">, </w:t>
      </w:r>
      <w:r>
        <w:rPr>
          <w:sz w:val="24"/>
          <w:szCs w:val="24"/>
        </w:rPr>
        <w:t>se clasifican en:</w:t>
      </w:r>
    </w:p>
    <w:p w14:paraId="26FE3147" w14:textId="77777777" w:rsidR="001560EC" w:rsidRDefault="0084750C" w:rsidP="001560EC">
      <w:pPr>
        <w:numPr>
          <w:ilvl w:val="0"/>
          <w:numId w:val="7"/>
        </w:numPr>
        <w:spacing w:line="240" w:lineRule="auto"/>
        <w:ind w:left="284" w:hanging="284"/>
        <w:jc w:val="both"/>
        <w:rPr>
          <w:sz w:val="24"/>
          <w:szCs w:val="24"/>
        </w:rPr>
      </w:pPr>
      <w:r>
        <w:rPr>
          <w:sz w:val="24"/>
          <w:szCs w:val="24"/>
        </w:rPr>
        <w:t xml:space="preserve">Prestaciones para facilitar la participación de las víctimas o testigos en el proceso penal, las que pueden consistir en </w:t>
      </w:r>
      <w:r w:rsidR="00663DDE">
        <w:rPr>
          <w:sz w:val="24"/>
          <w:szCs w:val="24"/>
        </w:rPr>
        <w:t>aportes para c</w:t>
      </w:r>
      <w:r>
        <w:rPr>
          <w:sz w:val="24"/>
          <w:szCs w:val="24"/>
        </w:rPr>
        <w:t>omparecencia a juicio</w:t>
      </w:r>
      <w:r w:rsidR="00687094">
        <w:rPr>
          <w:sz w:val="24"/>
          <w:szCs w:val="24"/>
        </w:rPr>
        <w:t xml:space="preserve"> y otras audiencias judiciales; </w:t>
      </w:r>
      <w:r w:rsidR="00663DDE">
        <w:rPr>
          <w:sz w:val="24"/>
          <w:szCs w:val="24"/>
        </w:rPr>
        <w:t>para comparecencia</w:t>
      </w:r>
      <w:r>
        <w:rPr>
          <w:sz w:val="24"/>
          <w:szCs w:val="24"/>
        </w:rPr>
        <w:t xml:space="preserve"> a</w:t>
      </w:r>
      <w:r w:rsidR="00663DDE">
        <w:rPr>
          <w:sz w:val="24"/>
          <w:szCs w:val="24"/>
        </w:rPr>
        <w:t xml:space="preserve"> diligencias de investigación; </w:t>
      </w:r>
      <w:r w:rsidR="007D2E57">
        <w:rPr>
          <w:sz w:val="24"/>
          <w:szCs w:val="24"/>
        </w:rPr>
        <w:t>atención</w:t>
      </w:r>
      <w:r>
        <w:rPr>
          <w:sz w:val="24"/>
          <w:szCs w:val="24"/>
        </w:rPr>
        <w:t xml:space="preserve"> psicológica y psiquiátri</w:t>
      </w:r>
      <w:r w:rsidR="007D2E57">
        <w:rPr>
          <w:sz w:val="24"/>
          <w:szCs w:val="24"/>
        </w:rPr>
        <w:t>ca; y, o</w:t>
      </w:r>
      <w:r>
        <w:rPr>
          <w:sz w:val="24"/>
          <w:szCs w:val="24"/>
        </w:rPr>
        <w:t>tras prestaciones.</w:t>
      </w:r>
    </w:p>
    <w:p w14:paraId="00B54A30" w14:textId="77777777" w:rsidR="00860F25" w:rsidRPr="001560EC" w:rsidRDefault="0084750C" w:rsidP="001560EC">
      <w:pPr>
        <w:numPr>
          <w:ilvl w:val="0"/>
          <w:numId w:val="7"/>
        </w:numPr>
        <w:spacing w:line="240" w:lineRule="auto"/>
        <w:ind w:left="284" w:hanging="284"/>
        <w:jc w:val="both"/>
        <w:rPr>
          <w:sz w:val="24"/>
          <w:szCs w:val="24"/>
        </w:rPr>
      </w:pPr>
      <w:r w:rsidRPr="001560EC">
        <w:rPr>
          <w:sz w:val="24"/>
          <w:szCs w:val="24"/>
        </w:rPr>
        <w:t>Prestaciones para disminuir las perturbaciones que hubiere de soportar la víctima con ocasión del delito, las que pueden consistir en: Artículos para víctimas de agresiones sexuales</w:t>
      </w:r>
      <w:r w:rsidR="00D83CF6" w:rsidRPr="001560EC">
        <w:rPr>
          <w:sz w:val="24"/>
          <w:szCs w:val="24"/>
        </w:rPr>
        <w:t>, delitos violentos, trata de personas y tráfico ilícito de migrantes</w:t>
      </w:r>
      <w:r w:rsidRPr="001560EC">
        <w:rPr>
          <w:sz w:val="24"/>
          <w:szCs w:val="24"/>
        </w:rPr>
        <w:t xml:space="preserve">; </w:t>
      </w:r>
      <w:r w:rsidR="00E96C6C" w:rsidRPr="001560EC">
        <w:rPr>
          <w:sz w:val="24"/>
          <w:szCs w:val="24"/>
        </w:rPr>
        <w:t>G</w:t>
      </w:r>
      <w:r w:rsidR="00687094" w:rsidRPr="001560EC">
        <w:rPr>
          <w:sz w:val="24"/>
          <w:szCs w:val="24"/>
        </w:rPr>
        <w:t>astos</w:t>
      </w:r>
      <w:r w:rsidRPr="001560EC">
        <w:rPr>
          <w:sz w:val="24"/>
          <w:szCs w:val="24"/>
        </w:rPr>
        <w:t xml:space="preserve"> funerarios parciales; y, Asistencia médica.</w:t>
      </w:r>
    </w:p>
    <w:p w14:paraId="45EBBB4D" w14:textId="77777777" w:rsidR="0084750C" w:rsidRDefault="0084750C" w:rsidP="0059317A">
      <w:pPr>
        <w:spacing w:line="240" w:lineRule="auto"/>
        <w:jc w:val="both"/>
        <w:rPr>
          <w:sz w:val="24"/>
          <w:szCs w:val="24"/>
        </w:rPr>
      </w:pPr>
      <w:r>
        <w:rPr>
          <w:sz w:val="24"/>
          <w:szCs w:val="24"/>
        </w:rPr>
        <w:t>Para la gestión y control de las prestaciones</w:t>
      </w:r>
      <w:r w:rsidRPr="003A033B">
        <w:rPr>
          <w:sz w:val="24"/>
          <w:szCs w:val="24"/>
        </w:rPr>
        <w:t xml:space="preserve"> </w:t>
      </w:r>
      <w:r>
        <w:rPr>
          <w:sz w:val="24"/>
          <w:szCs w:val="24"/>
        </w:rPr>
        <w:t xml:space="preserve">que se otorgan </w:t>
      </w:r>
      <w:r w:rsidRPr="003A033B">
        <w:rPr>
          <w:sz w:val="24"/>
          <w:szCs w:val="24"/>
        </w:rPr>
        <w:t xml:space="preserve">se utiliza el sistema informático OPA (Orientación, Protección y Apoyo), específicamente, el </w:t>
      </w:r>
      <w:r w:rsidR="001408A2">
        <w:rPr>
          <w:sz w:val="24"/>
          <w:szCs w:val="24"/>
        </w:rPr>
        <w:t>M</w:t>
      </w:r>
      <w:r w:rsidRPr="003A033B">
        <w:rPr>
          <w:sz w:val="24"/>
          <w:szCs w:val="24"/>
        </w:rPr>
        <w:t xml:space="preserve">ódulo de </w:t>
      </w:r>
      <w:r w:rsidR="001408A2">
        <w:rPr>
          <w:sz w:val="24"/>
          <w:szCs w:val="24"/>
        </w:rPr>
        <w:t>A</w:t>
      </w:r>
      <w:r w:rsidRPr="003A033B">
        <w:rPr>
          <w:sz w:val="24"/>
          <w:szCs w:val="24"/>
        </w:rPr>
        <w:t xml:space="preserve">dministración de </w:t>
      </w:r>
      <w:r w:rsidR="001408A2">
        <w:rPr>
          <w:sz w:val="24"/>
          <w:szCs w:val="24"/>
        </w:rPr>
        <w:t>P</w:t>
      </w:r>
      <w:r w:rsidRPr="003A033B">
        <w:rPr>
          <w:sz w:val="24"/>
          <w:szCs w:val="24"/>
        </w:rPr>
        <w:t xml:space="preserve">restaciones a Víctimas y Testigos (MAPVT). </w:t>
      </w:r>
    </w:p>
    <w:p w14:paraId="03C26B04" w14:textId="77777777" w:rsidR="007D2E57" w:rsidRDefault="007D2E57" w:rsidP="0059317A">
      <w:pPr>
        <w:spacing w:line="240" w:lineRule="auto"/>
        <w:jc w:val="both"/>
        <w:rPr>
          <w:sz w:val="24"/>
          <w:szCs w:val="24"/>
        </w:rPr>
      </w:pPr>
    </w:p>
    <w:p w14:paraId="54902B07" w14:textId="77777777" w:rsidR="0084750C" w:rsidRDefault="0084750C" w:rsidP="0059317A">
      <w:pPr>
        <w:spacing w:line="240" w:lineRule="auto"/>
        <w:jc w:val="both"/>
        <w:rPr>
          <w:sz w:val="24"/>
          <w:szCs w:val="24"/>
        </w:rPr>
      </w:pPr>
      <w:r w:rsidRPr="006759CA">
        <w:rPr>
          <w:sz w:val="24"/>
          <w:szCs w:val="24"/>
        </w:rPr>
        <w:lastRenderedPageBreak/>
        <w:t xml:space="preserve">De acuerdo a los tipos de delitos </w:t>
      </w:r>
      <w:r>
        <w:rPr>
          <w:sz w:val="24"/>
          <w:szCs w:val="24"/>
        </w:rPr>
        <w:t>y al grado de vulnerabilidad de las víctimas</w:t>
      </w:r>
      <w:r w:rsidR="00302442">
        <w:rPr>
          <w:sz w:val="24"/>
          <w:szCs w:val="24"/>
        </w:rPr>
        <w:t xml:space="preserve"> y testigos,</w:t>
      </w:r>
      <w:r>
        <w:rPr>
          <w:sz w:val="24"/>
          <w:szCs w:val="24"/>
        </w:rPr>
        <w:t xml:space="preserve"> </w:t>
      </w:r>
      <w:r w:rsidRPr="006759CA">
        <w:rPr>
          <w:sz w:val="24"/>
          <w:szCs w:val="24"/>
        </w:rPr>
        <w:t>se ha dispuesto de mod</w:t>
      </w:r>
      <w:r>
        <w:rPr>
          <w:sz w:val="24"/>
          <w:szCs w:val="24"/>
        </w:rPr>
        <w:t>elos especializados de atención</w:t>
      </w:r>
      <w:r w:rsidR="005977C2">
        <w:rPr>
          <w:sz w:val="24"/>
          <w:szCs w:val="24"/>
        </w:rPr>
        <w:t xml:space="preserve"> y protección</w:t>
      </w:r>
      <w:r>
        <w:rPr>
          <w:sz w:val="24"/>
          <w:szCs w:val="24"/>
        </w:rPr>
        <w:t>, siendo estos: Modelo de Intervención Inmediata para Víctimas de Violencia Intrafamiliar (VIF), Modelo de Intervención Especializada en Niños, Niñas y Adolesce</w:t>
      </w:r>
      <w:r w:rsidR="007755BC">
        <w:rPr>
          <w:sz w:val="24"/>
          <w:szCs w:val="24"/>
        </w:rPr>
        <w:t>ntes Víctimas de Delitos S</w:t>
      </w:r>
      <w:r>
        <w:rPr>
          <w:sz w:val="24"/>
          <w:szCs w:val="24"/>
        </w:rPr>
        <w:t>exuales y Delitos en Contexto de Violencia Intrafamiliar (NNA), Modelo de Orientación, Protección y Apoyo en Declaración y Denuncia Directa (D y DD)</w:t>
      </w:r>
      <w:r w:rsidR="007D1BA5">
        <w:rPr>
          <w:sz w:val="24"/>
          <w:szCs w:val="24"/>
        </w:rPr>
        <w:t xml:space="preserve">, Modelo de atención a </w:t>
      </w:r>
      <w:r w:rsidR="001408A2">
        <w:rPr>
          <w:sz w:val="24"/>
          <w:szCs w:val="24"/>
        </w:rPr>
        <w:t>V</w:t>
      </w:r>
      <w:r w:rsidR="007D1BA5">
        <w:rPr>
          <w:sz w:val="24"/>
          <w:szCs w:val="24"/>
        </w:rPr>
        <w:t xml:space="preserve">íctimas y Testigos que </w:t>
      </w:r>
      <w:r w:rsidR="00E96C6C">
        <w:rPr>
          <w:sz w:val="24"/>
          <w:szCs w:val="24"/>
        </w:rPr>
        <w:t>deben</w:t>
      </w:r>
      <w:r w:rsidR="007D1BA5">
        <w:rPr>
          <w:sz w:val="24"/>
          <w:szCs w:val="24"/>
        </w:rPr>
        <w:t xml:space="preserve"> declara</w:t>
      </w:r>
      <w:r w:rsidR="00E96C6C">
        <w:rPr>
          <w:sz w:val="24"/>
          <w:szCs w:val="24"/>
        </w:rPr>
        <w:t>r</w:t>
      </w:r>
      <w:r w:rsidR="007D1BA5">
        <w:rPr>
          <w:sz w:val="24"/>
          <w:szCs w:val="24"/>
        </w:rPr>
        <w:t xml:space="preserve"> en Juicio Oral</w:t>
      </w:r>
      <w:r>
        <w:rPr>
          <w:sz w:val="24"/>
          <w:szCs w:val="24"/>
        </w:rPr>
        <w:t xml:space="preserve"> </w:t>
      </w:r>
      <w:r w:rsidR="00C900FE">
        <w:rPr>
          <w:sz w:val="24"/>
          <w:szCs w:val="24"/>
        </w:rPr>
        <w:t xml:space="preserve">(Otros JO) </w:t>
      </w:r>
      <w:r>
        <w:rPr>
          <w:sz w:val="24"/>
          <w:szCs w:val="24"/>
        </w:rPr>
        <w:t>y Modelo de Protección a Víctimas y Testigos en Casos Complejos.</w:t>
      </w:r>
    </w:p>
    <w:p w14:paraId="39CF9CAF" w14:textId="77777777" w:rsidR="00041F01" w:rsidRDefault="0084750C" w:rsidP="0059317A">
      <w:pPr>
        <w:spacing w:line="240" w:lineRule="auto"/>
        <w:jc w:val="both"/>
        <w:rPr>
          <w:sz w:val="24"/>
          <w:szCs w:val="24"/>
        </w:rPr>
      </w:pPr>
      <w:r>
        <w:rPr>
          <w:sz w:val="24"/>
          <w:szCs w:val="24"/>
        </w:rPr>
        <w:t xml:space="preserve">Cabe hacer presente </w:t>
      </w:r>
      <w:r w:rsidR="00663DDE">
        <w:rPr>
          <w:sz w:val="24"/>
          <w:szCs w:val="24"/>
        </w:rPr>
        <w:t>que las</w:t>
      </w:r>
      <w:r>
        <w:rPr>
          <w:sz w:val="24"/>
          <w:szCs w:val="24"/>
        </w:rPr>
        <w:t xml:space="preserve"> prestaciones </w:t>
      </w:r>
      <w:r w:rsidR="00D67A2A">
        <w:rPr>
          <w:sz w:val="24"/>
          <w:szCs w:val="24"/>
        </w:rPr>
        <w:t xml:space="preserve">económicas </w:t>
      </w:r>
      <w:r w:rsidR="00D83CF6">
        <w:rPr>
          <w:sz w:val="24"/>
          <w:szCs w:val="24"/>
        </w:rPr>
        <w:t xml:space="preserve">que se entregan, tanto </w:t>
      </w:r>
      <w:r>
        <w:rPr>
          <w:sz w:val="24"/>
          <w:szCs w:val="24"/>
        </w:rPr>
        <w:t xml:space="preserve">por </w:t>
      </w:r>
      <w:r w:rsidR="00034416">
        <w:rPr>
          <w:sz w:val="24"/>
          <w:szCs w:val="24"/>
        </w:rPr>
        <w:t>p</w:t>
      </w:r>
      <w:r>
        <w:rPr>
          <w:sz w:val="24"/>
          <w:szCs w:val="24"/>
        </w:rPr>
        <w:t>rotección como</w:t>
      </w:r>
      <w:r w:rsidR="005977C2">
        <w:rPr>
          <w:sz w:val="24"/>
          <w:szCs w:val="24"/>
        </w:rPr>
        <w:t xml:space="preserve"> </w:t>
      </w:r>
      <w:r>
        <w:rPr>
          <w:sz w:val="24"/>
          <w:szCs w:val="24"/>
        </w:rPr>
        <w:t xml:space="preserve">por </w:t>
      </w:r>
      <w:r w:rsidR="00034416">
        <w:rPr>
          <w:sz w:val="24"/>
          <w:szCs w:val="24"/>
        </w:rPr>
        <w:t>a</w:t>
      </w:r>
      <w:r>
        <w:rPr>
          <w:sz w:val="24"/>
          <w:szCs w:val="24"/>
        </w:rPr>
        <w:t>poyo</w:t>
      </w:r>
      <w:r w:rsidR="00D83CF6">
        <w:rPr>
          <w:sz w:val="24"/>
          <w:szCs w:val="24"/>
        </w:rPr>
        <w:t>,</w:t>
      </w:r>
      <w:r>
        <w:rPr>
          <w:sz w:val="24"/>
          <w:szCs w:val="24"/>
        </w:rPr>
        <w:t xml:space="preserve"> son imputadas al Fondo para Aportes Económicos para Víctimas y Testigos asignado en el presupuesto anual del Ministerio Público, </w:t>
      </w:r>
      <w:r w:rsidR="00DC701A">
        <w:rPr>
          <w:sz w:val="24"/>
          <w:szCs w:val="24"/>
        </w:rPr>
        <w:t>sin</w:t>
      </w:r>
      <w:r w:rsidR="00302442">
        <w:rPr>
          <w:sz w:val="24"/>
          <w:szCs w:val="24"/>
        </w:rPr>
        <w:t xml:space="preserve"> distin</w:t>
      </w:r>
      <w:r w:rsidR="000E771B">
        <w:rPr>
          <w:sz w:val="24"/>
          <w:szCs w:val="24"/>
        </w:rPr>
        <w:t xml:space="preserve">ción, y </w:t>
      </w:r>
      <w:r>
        <w:rPr>
          <w:sz w:val="24"/>
          <w:szCs w:val="24"/>
        </w:rPr>
        <w:t>el Reglamento</w:t>
      </w:r>
      <w:r w:rsidR="00DC701A" w:rsidRPr="00DC701A">
        <w:rPr>
          <w:sz w:val="24"/>
          <w:szCs w:val="24"/>
        </w:rPr>
        <w:t xml:space="preserve"> </w:t>
      </w:r>
      <w:r w:rsidR="00DC701A">
        <w:rPr>
          <w:sz w:val="24"/>
          <w:szCs w:val="24"/>
        </w:rPr>
        <w:t>respectivo,</w:t>
      </w:r>
      <w:r>
        <w:rPr>
          <w:sz w:val="24"/>
          <w:szCs w:val="24"/>
        </w:rPr>
        <w:t xml:space="preserve"> </w:t>
      </w:r>
      <w:r w:rsidR="000E771B">
        <w:rPr>
          <w:sz w:val="24"/>
          <w:szCs w:val="24"/>
        </w:rPr>
        <w:t xml:space="preserve">cuyo objeto es </w:t>
      </w:r>
      <w:r w:rsidR="00DC701A">
        <w:rPr>
          <w:sz w:val="24"/>
          <w:szCs w:val="24"/>
        </w:rPr>
        <w:t xml:space="preserve">regular </w:t>
      </w:r>
      <w:r w:rsidR="000E771B">
        <w:rPr>
          <w:sz w:val="24"/>
          <w:szCs w:val="24"/>
        </w:rPr>
        <w:t xml:space="preserve">la administración de dicho Fondo fijando </w:t>
      </w:r>
      <w:r w:rsidR="00DC701A">
        <w:rPr>
          <w:sz w:val="24"/>
          <w:szCs w:val="24"/>
        </w:rPr>
        <w:t xml:space="preserve">topes, requisitos y autorizaciones para su otorgamiento, </w:t>
      </w:r>
      <w:r w:rsidR="000E771B">
        <w:rPr>
          <w:sz w:val="24"/>
          <w:szCs w:val="24"/>
        </w:rPr>
        <w:t>no</w:t>
      </w:r>
      <w:r w:rsidR="00DC701A">
        <w:rPr>
          <w:sz w:val="24"/>
          <w:szCs w:val="24"/>
        </w:rPr>
        <w:t xml:space="preserve"> </w:t>
      </w:r>
      <w:r>
        <w:rPr>
          <w:sz w:val="24"/>
          <w:szCs w:val="24"/>
        </w:rPr>
        <w:t>determin</w:t>
      </w:r>
      <w:r w:rsidR="00DC701A">
        <w:rPr>
          <w:sz w:val="24"/>
          <w:szCs w:val="24"/>
        </w:rPr>
        <w:t>a</w:t>
      </w:r>
      <w:r>
        <w:rPr>
          <w:sz w:val="24"/>
          <w:szCs w:val="24"/>
        </w:rPr>
        <w:t xml:space="preserve"> monto</w:t>
      </w:r>
      <w:r w:rsidR="000E771B">
        <w:rPr>
          <w:sz w:val="24"/>
          <w:szCs w:val="24"/>
        </w:rPr>
        <w:t>s</w:t>
      </w:r>
      <w:r>
        <w:rPr>
          <w:sz w:val="24"/>
          <w:szCs w:val="24"/>
        </w:rPr>
        <w:t xml:space="preserve"> global</w:t>
      </w:r>
      <w:r w:rsidR="000E771B">
        <w:rPr>
          <w:sz w:val="24"/>
          <w:szCs w:val="24"/>
        </w:rPr>
        <w:t>es</w:t>
      </w:r>
      <w:r>
        <w:rPr>
          <w:sz w:val="24"/>
          <w:szCs w:val="24"/>
        </w:rPr>
        <w:t xml:space="preserve"> específico</w:t>
      </w:r>
      <w:r w:rsidR="000E771B">
        <w:rPr>
          <w:sz w:val="24"/>
          <w:szCs w:val="24"/>
        </w:rPr>
        <w:t>s</w:t>
      </w:r>
      <w:r>
        <w:rPr>
          <w:sz w:val="24"/>
          <w:szCs w:val="24"/>
        </w:rPr>
        <w:t xml:space="preserve"> para </w:t>
      </w:r>
      <w:r w:rsidR="00034416">
        <w:rPr>
          <w:sz w:val="24"/>
          <w:szCs w:val="24"/>
        </w:rPr>
        <w:t>p</w:t>
      </w:r>
      <w:r w:rsidR="00DC701A">
        <w:rPr>
          <w:sz w:val="24"/>
          <w:szCs w:val="24"/>
        </w:rPr>
        <w:t xml:space="preserve">rotección </w:t>
      </w:r>
      <w:r w:rsidR="005977C2">
        <w:rPr>
          <w:sz w:val="24"/>
          <w:szCs w:val="24"/>
        </w:rPr>
        <w:t>o</w:t>
      </w:r>
      <w:r w:rsidR="00DC701A">
        <w:rPr>
          <w:sz w:val="24"/>
          <w:szCs w:val="24"/>
        </w:rPr>
        <w:t xml:space="preserve"> </w:t>
      </w:r>
      <w:r w:rsidR="000E771B">
        <w:rPr>
          <w:sz w:val="24"/>
          <w:szCs w:val="24"/>
        </w:rPr>
        <w:t xml:space="preserve">para </w:t>
      </w:r>
      <w:r w:rsidR="00034416">
        <w:rPr>
          <w:sz w:val="24"/>
          <w:szCs w:val="24"/>
        </w:rPr>
        <w:t>a</w:t>
      </w:r>
      <w:r w:rsidR="00DC701A">
        <w:rPr>
          <w:sz w:val="24"/>
          <w:szCs w:val="24"/>
        </w:rPr>
        <w:t>poyo</w:t>
      </w:r>
      <w:r>
        <w:rPr>
          <w:sz w:val="24"/>
          <w:szCs w:val="24"/>
        </w:rPr>
        <w:t xml:space="preserve">. </w:t>
      </w:r>
      <w:r w:rsidR="00041F01">
        <w:rPr>
          <w:sz w:val="24"/>
          <w:szCs w:val="24"/>
        </w:rPr>
        <w:t>En el informe que a continuación se expone, en archivo Excel, se clasifica la presentación de la información por concepto de prestaciones por protección</w:t>
      </w:r>
      <w:r w:rsidR="00AE289B">
        <w:rPr>
          <w:sz w:val="24"/>
          <w:szCs w:val="24"/>
        </w:rPr>
        <w:t xml:space="preserve"> y apoyo</w:t>
      </w:r>
      <w:r w:rsidR="00041F01">
        <w:rPr>
          <w:sz w:val="24"/>
          <w:szCs w:val="24"/>
        </w:rPr>
        <w:t xml:space="preserve"> </w:t>
      </w:r>
      <w:r w:rsidR="00663DDE">
        <w:rPr>
          <w:sz w:val="24"/>
          <w:szCs w:val="24"/>
        </w:rPr>
        <w:t>para “</w:t>
      </w:r>
      <w:r w:rsidR="00041F01">
        <w:rPr>
          <w:sz w:val="24"/>
          <w:szCs w:val="24"/>
        </w:rPr>
        <w:t>VIF”, “NNA”, “D y DD”, “</w:t>
      </w:r>
      <w:proofErr w:type="gramStart"/>
      <w:r w:rsidR="00041F01">
        <w:rPr>
          <w:sz w:val="24"/>
          <w:szCs w:val="24"/>
        </w:rPr>
        <w:t>Otros juicio oral</w:t>
      </w:r>
      <w:proofErr w:type="gramEnd"/>
      <w:r w:rsidR="00041F01">
        <w:rPr>
          <w:sz w:val="24"/>
          <w:szCs w:val="24"/>
        </w:rPr>
        <w:t xml:space="preserve">” y “Otros delitos”. </w:t>
      </w:r>
    </w:p>
    <w:p w14:paraId="6CBACA0D" w14:textId="5329A41E" w:rsidR="00041F01" w:rsidRDefault="00041F01" w:rsidP="0059317A">
      <w:pPr>
        <w:spacing w:line="240" w:lineRule="auto"/>
        <w:jc w:val="both"/>
        <w:rPr>
          <w:sz w:val="24"/>
          <w:szCs w:val="24"/>
        </w:rPr>
      </w:pPr>
      <w:r>
        <w:rPr>
          <w:sz w:val="24"/>
          <w:szCs w:val="24"/>
        </w:rPr>
        <w:t xml:space="preserve">La clasificación “VIF” considera todas las prestaciones por protección </w:t>
      </w:r>
      <w:r w:rsidR="00AE289B">
        <w:rPr>
          <w:sz w:val="24"/>
          <w:szCs w:val="24"/>
        </w:rPr>
        <w:t xml:space="preserve">y apoyo </w:t>
      </w:r>
      <w:r>
        <w:rPr>
          <w:sz w:val="24"/>
          <w:szCs w:val="24"/>
        </w:rPr>
        <w:t xml:space="preserve">otorgadas a víctimas de delitos ocurridos en un contexto de violencia intrafamiliar atendidas </w:t>
      </w:r>
      <w:r w:rsidR="00275523">
        <w:rPr>
          <w:sz w:val="24"/>
          <w:szCs w:val="24"/>
        </w:rPr>
        <w:t>de acuerdo con el</w:t>
      </w:r>
      <w:r>
        <w:rPr>
          <w:sz w:val="24"/>
          <w:szCs w:val="24"/>
        </w:rPr>
        <w:t xml:space="preserve"> modelo especializado para este delito. En “NNA” se considera las prestaciones por protección </w:t>
      </w:r>
      <w:r w:rsidR="00AE289B">
        <w:rPr>
          <w:sz w:val="24"/>
          <w:szCs w:val="24"/>
        </w:rPr>
        <w:t xml:space="preserve">y apoyo </w:t>
      </w:r>
      <w:r>
        <w:rPr>
          <w:sz w:val="24"/>
          <w:szCs w:val="24"/>
        </w:rPr>
        <w:t xml:space="preserve">otorgadas a los </w:t>
      </w:r>
      <w:r w:rsidRPr="00DC708E">
        <w:rPr>
          <w:sz w:val="24"/>
          <w:szCs w:val="24"/>
        </w:rPr>
        <w:t xml:space="preserve">niños, niñas y adolescentes víctimas de delitos sexuales o en contexto de violencia intrafamiliar </w:t>
      </w:r>
      <w:r>
        <w:rPr>
          <w:sz w:val="24"/>
          <w:szCs w:val="24"/>
        </w:rPr>
        <w:t>atendid</w:t>
      </w:r>
      <w:r w:rsidR="007D1BA5">
        <w:rPr>
          <w:sz w:val="24"/>
          <w:szCs w:val="24"/>
        </w:rPr>
        <w:t>o</w:t>
      </w:r>
      <w:r>
        <w:rPr>
          <w:sz w:val="24"/>
          <w:szCs w:val="24"/>
        </w:rPr>
        <w:t xml:space="preserve">s </w:t>
      </w:r>
      <w:r w:rsidR="00275523">
        <w:rPr>
          <w:sz w:val="24"/>
          <w:szCs w:val="24"/>
        </w:rPr>
        <w:t>de acuerdo con el</w:t>
      </w:r>
      <w:r>
        <w:rPr>
          <w:sz w:val="24"/>
          <w:szCs w:val="24"/>
        </w:rPr>
        <w:t xml:space="preserve"> modelo especializado</w:t>
      </w:r>
      <w:r w:rsidRPr="00DC708E">
        <w:rPr>
          <w:sz w:val="24"/>
          <w:szCs w:val="24"/>
        </w:rPr>
        <w:t xml:space="preserve">. </w:t>
      </w:r>
      <w:r>
        <w:rPr>
          <w:sz w:val="24"/>
          <w:szCs w:val="24"/>
        </w:rPr>
        <w:t>L</w:t>
      </w:r>
      <w:r w:rsidRPr="00DC708E">
        <w:rPr>
          <w:sz w:val="24"/>
          <w:szCs w:val="24"/>
        </w:rPr>
        <w:t xml:space="preserve">a clasificación “D y </w:t>
      </w:r>
      <w:proofErr w:type="gramStart"/>
      <w:r w:rsidR="007D2E57">
        <w:rPr>
          <w:sz w:val="24"/>
          <w:szCs w:val="24"/>
        </w:rPr>
        <w:t>DD</w:t>
      </w:r>
      <w:r w:rsidR="007D2E57" w:rsidRPr="00DC708E">
        <w:rPr>
          <w:sz w:val="24"/>
          <w:szCs w:val="24"/>
        </w:rPr>
        <w:t>“</w:t>
      </w:r>
      <w:proofErr w:type="gramEnd"/>
      <w:r w:rsidR="007D2E57">
        <w:rPr>
          <w:sz w:val="24"/>
          <w:szCs w:val="24"/>
        </w:rPr>
        <w:t>(</w:t>
      </w:r>
      <w:r w:rsidRPr="00DC708E">
        <w:rPr>
          <w:sz w:val="24"/>
          <w:szCs w:val="24"/>
        </w:rPr>
        <w:t xml:space="preserve">declaración y denuncia directa), </w:t>
      </w:r>
      <w:r>
        <w:rPr>
          <w:sz w:val="24"/>
          <w:szCs w:val="24"/>
        </w:rPr>
        <w:t>incluye</w:t>
      </w:r>
      <w:r w:rsidRPr="00DC708E">
        <w:rPr>
          <w:sz w:val="24"/>
          <w:szCs w:val="24"/>
        </w:rPr>
        <w:t xml:space="preserve"> a las </w:t>
      </w:r>
      <w:r>
        <w:rPr>
          <w:sz w:val="24"/>
          <w:szCs w:val="24"/>
        </w:rPr>
        <w:t xml:space="preserve">prestaciones por protección </w:t>
      </w:r>
      <w:r w:rsidR="00AE289B">
        <w:rPr>
          <w:sz w:val="24"/>
          <w:szCs w:val="24"/>
        </w:rPr>
        <w:t xml:space="preserve">y apoyo </w:t>
      </w:r>
      <w:r>
        <w:rPr>
          <w:sz w:val="24"/>
          <w:szCs w:val="24"/>
        </w:rPr>
        <w:t xml:space="preserve">otorgadas a </w:t>
      </w:r>
      <w:r w:rsidRPr="00DC708E">
        <w:rPr>
          <w:sz w:val="24"/>
          <w:szCs w:val="24"/>
        </w:rPr>
        <w:t>víctimas y testigos que declaran o denuncian en la</w:t>
      </w:r>
      <w:r w:rsidR="007D1BA5">
        <w:rPr>
          <w:sz w:val="24"/>
          <w:szCs w:val="24"/>
        </w:rPr>
        <w:t>s</w:t>
      </w:r>
      <w:r w:rsidRPr="00DC708E">
        <w:rPr>
          <w:sz w:val="24"/>
          <w:szCs w:val="24"/>
        </w:rPr>
        <w:t xml:space="preserve"> fiscalía</w:t>
      </w:r>
      <w:r w:rsidR="007D1BA5">
        <w:rPr>
          <w:sz w:val="24"/>
          <w:szCs w:val="24"/>
        </w:rPr>
        <w:t>s</w:t>
      </w:r>
      <w:r w:rsidRPr="00DC708E">
        <w:rPr>
          <w:sz w:val="24"/>
          <w:szCs w:val="24"/>
        </w:rPr>
        <w:t xml:space="preserve"> local</w:t>
      </w:r>
      <w:r w:rsidR="007D1BA5">
        <w:rPr>
          <w:sz w:val="24"/>
          <w:szCs w:val="24"/>
        </w:rPr>
        <w:t>es</w:t>
      </w:r>
      <w:r w:rsidRPr="00DC708E">
        <w:rPr>
          <w:sz w:val="24"/>
          <w:szCs w:val="24"/>
        </w:rPr>
        <w:t xml:space="preserve"> </w:t>
      </w:r>
      <w:r>
        <w:rPr>
          <w:sz w:val="24"/>
          <w:szCs w:val="24"/>
        </w:rPr>
        <w:t>atendid</w:t>
      </w:r>
      <w:r w:rsidR="007D1BA5">
        <w:rPr>
          <w:sz w:val="24"/>
          <w:szCs w:val="24"/>
        </w:rPr>
        <w:t>o</w:t>
      </w:r>
      <w:r>
        <w:rPr>
          <w:sz w:val="24"/>
          <w:szCs w:val="24"/>
        </w:rPr>
        <w:t>s de acuerdo al modelo de Orientación, Protección y Apoyo en Declaración y Denuncia Directa</w:t>
      </w:r>
      <w:r w:rsidRPr="00DC708E">
        <w:rPr>
          <w:sz w:val="24"/>
          <w:szCs w:val="24"/>
        </w:rPr>
        <w:t xml:space="preserve">. </w:t>
      </w:r>
    </w:p>
    <w:p w14:paraId="54E644D0" w14:textId="77777777" w:rsidR="00041F01" w:rsidRDefault="00041F01" w:rsidP="0059317A">
      <w:pPr>
        <w:spacing w:line="240" w:lineRule="auto"/>
        <w:jc w:val="both"/>
        <w:rPr>
          <w:sz w:val="24"/>
          <w:szCs w:val="24"/>
        </w:rPr>
      </w:pPr>
      <w:r w:rsidRPr="00DC708E">
        <w:rPr>
          <w:sz w:val="24"/>
          <w:szCs w:val="24"/>
        </w:rPr>
        <w:t xml:space="preserve">Respecto de la clasificación “Otros Juicio Oral”, </w:t>
      </w:r>
      <w:r w:rsidR="001408A2">
        <w:rPr>
          <w:sz w:val="24"/>
          <w:szCs w:val="24"/>
        </w:rPr>
        <w:t>é</w:t>
      </w:r>
      <w:r w:rsidRPr="00DC708E">
        <w:rPr>
          <w:sz w:val="24"/>
          <w:szCs w:val="24"/>
        </w:rPr>
        <w:t>st</w:t>
      </w:r>
      <w:r w:rsidR="001408A2">
        <w:rPr>
          <w:sz w:val="24"/>
          <w:szCs w:val="24"/>
        </w:rPr>
        <w:t>a</w:t>
      </w:r>
      <w:r w:rsidRPr="00DC708E">
        <w:rPr>
          <w:sz w:val="24"/>
          <w:szCs w:val="24"/>
        </w:rPr>
        <w:t xml:space="preserve"> reúne todas las prestaciones </w:t>
      </w:r>
      <w:r>
        <w:rPr>
          <w:sz w:val="24"/>
          <w:szCs w:val="24"/>
        </w:rPr>
        <w:t xml:space="preserve">por protección </w:t>
      </w:r>
      <w:r w:rsidR="004B3D3D">
        <w:rPr>
          <w:sz w:val="24"/>
          <w:szCs w:val="24"/>
        </w:rPr>
        <w:t xml:space="preserve">y apoyo </w:t>
      </w:r>
      <w:r w:rsidRPr="00DC708E">
        <w:rPr>
          <w:sz w:val="24"/>
          <w:szCs w:val="24"/>
        </w:rPr>
        <w:t xml:space="preserve">entregadas a las víctimas, testigos o peritos, que </w:t>
      </w:r>
      <w:r w:rsidR="007D1BA5">
        <w:rPr>
          <w:sz w:val="24"/>
          <w:szCs w:val="24"/>
        </w:rPr>
        <w:t xml:space="preserve">deban declarar </w:t>
      </w:r>
      <w:r w:rsidR="00663DDE">
        <w:rPr>
          <w:sz w:val="24"/>
          <w:szCs w:val="24"/>
        </w:rPr>
        <w:t xml:space="preserve">en </w:t>
      </w:r>
      <w:r w:rsidR="00663DDE" w:rsidRPr="00DC708E">
        <w:rPr>
          <w:sz w:val="24"/>
          <w:szCs w:val="24"/>
        </w:rPr>
        <w:t>un</w:t>
      </w:r>
      <w:r w:rsidRPr="00DC708E">
        <w:rPr>
          <w:sz w:val="24"/>
          <w:szCs w:val="24"/>
        </w:rPr>
        <w:t xml:space="preserve"> juicio oral, sin importar al tipo de clasificación delictual al cual pertenezca</w:t>
      </w:r>
      <w:r>
        <w:rPr>
          <w:sz w:val="24"/>
          <w:szCs w:val="24"/>
        </w:rPr>
        <w:t>, ya que se trata de prestaciones exclusivas para esta etapa del proceso penal</w:t>
      </w:r>
      <w:r w:rsidRPr="00DC708E">
        <w:rPr>
          <w:sz w:val="24"/>
          <w:szCs w:val="24"/>
        </w:rPr>
        <w:t>.</w:t>
      </w:r>
      <w:r>
        <w:rPr>
          <w:sz w:val="24"/>
          <w:szCs w:val="24"/>
        </w:rPr>
        <w:t xml:space="preserve"> </w:t>
      </w:r>
    </w:p>
    <w:p w14:paraId="20EAD594" w14:textId="77777777" w:rsidR="00041F01" w:rsidRDefault="00041F01" w:rsidP="0059317A">
      <w:pPr>
        <w:spacing w:line="240" w:lineRule="auto"/>
        <w:jc w:val="both"/>
        <w:rPr>
          <w:sz w:val="24"/>
          <w:szCs w:val="24"/>
        </w:rPr>
      </w:pPr>
      <w:r>
        <w:rPr>
          <w:sz w:val="24"/>
          <w:szCs w:val="24"/>
        </w:rPr>
        <w:t xml:space="preserve">Por su parte, </w:t>
      </w:r>
      <w:r w:rsidRPr="006F2D03">
        <w:rPr>
          <w:sz w:val="24"/>
          <w:szCs w:val="24"/>
        </w:rPr>
        <w:t xml:space="preserve">en </w:t>
      </w:r>
      <w:r w:rsidRPr="00DC708E">
        <w:rPr>
          <w:sz w:val="24"/>
          <w:szCs w:val="24"/>
        </w:rPr>
        <w:t xml:space="preserve">“Otros Delitos”, se </w:t>
      </w:r>
      <w:r>
        <w:rPr>
          <w:sz w:val="24"/>
          <w:szCs w:val="24"/>
        </w:rPr>
        <w:t xml:space="preserve">incluyen todas las prestaciones por protección </w:t>
      </w:r>
      <w:r w:rsidR="004B3D3D">
        <w:rPr>
          <w:sz w:val="24"/>
          <w:szCs w:val="24"/>
        </w:rPr>
        <w:t xml:space="preserve">y apoyo </w:t>
      </w:r>
      <w:r w:rsidRPr="00DC708E">
        <w:rPr>
          <w:sz w:val="24"/>
          <w:szCs w:val="24"/>
        </w:rPr>
        <w:t>que no clasifican dentro de las ya mencionadas, in</w:t>
      </w:r>
      <w:r>
        <w:rPr>
          <w:sz w:val="24"/>
          <w:szCs w:val="24"/>
        </w:rPr>
        <w:t>corporando</w:t>
      </w:r>
      <w:r w:rsidRPr="00DC708E">
        <w:rPr>
          <w:sz w:val="24"/>
          <w:szCs w:val="24"/>
        </w:rPr>
        <w:t xml:space="preserve"> dentro de esta categoría </w:t>
      </w:r>
      <w:r>
        <w:rPr>
          <w:sz w:val="24"/>
          <w:szCs w:val="24"/>
        </w:rPr>
        <w:t xml:space="preserve">las prestaciones por protección en el contexto del </w:t>
      </w:r>
      <w:r w:rsidRPr="00DC708E">
        <w:rPr>
          <w:sz w:val="24"/>
          <w:szCs w:val="24"/>
        </w:rPr>
        <w:t xml:space="preserve">modelo de Protección para Víctimas y Testigos en </w:t>
      </w:r>
      <w:r>
        <w:rPr>
          <w:sz w:val="24"/>
          <w:szCs w:val="24"/>
        </w:rPr>
        <w:t xml:space="preserve">Casos </w:t>
      </w:r>
      <w:r w:rsidRPr="00DC708E">
        <w:rPr>
          <w:sz w:val="24"/>
          <w:szCs w:val="24"/>
        </w:rPr>
        <w:t xml:space="preserve">Complejos, </w:t>
      </w:r>
      <w:r>
        <w:rPr>
          <w:sz w:val="24"/>
          <w:szCs w:val="24"/>
        </w:rPr>
        <w:t>por su</w:t>
      </w:r>
      <w:r w:rsidRPr="00466E55">
        <w:rPr>
          <w:sz w:val="24"/>
          <w:szCs w:val="24"/>
        </w:rPr>
        <w:t xml:space="preserve"> aplicación excepcional y la reserva que deben tener en su proceso investigativo.</w:t>
      </w:r>
      <w:r w:rsidRPr="00DC708E">
        <w:rPr>
          <w:sz w:val="24"/>
          <w:szCs w:val="24"/>
        </w:rPr>
        <w:t xml:space="preserve"> Además, </w:t>
      </w:r>
      <w:r>
        <w:rPr>
          <w:sz w:val="24"/>
          <w:szCs w:val="24"/>
        </w:rPr>
        <w:t xml:space="preserve">la </w:t>
      </w:r>
      <w:r w:rsidRPr="00DC708E">
        <w:rPr>
          <w:sz w:val="24"/>
          <w:szCs w:val="24"/>
        </w:rPr>
        <w:t xml:space="preserve">clasificación </w:t>
      </w:r>
      <w:r>
        <w:rPr>
          <w:sz w:val="24"/>
          <w:szCs w:val="24"/>
        </w:rPr>
        <w:t xml:space="preserve">“Otros Delitos” </w:t>
      </w:r>
      <w:r w:rsidRPr="00DC708E">
        <w:rPr>
          <w:sz w:val="24"/>
          <w:szCs w:val="24"/>
        </w:rPr>
        <w:t>se subdivide en “Otros derivados a URAVIT” y “Otros”.</w:t>
      </w:r>
    </w:p>
    <w:p w14:paraId="6C104576" w14:textId="77777777" w:rsidR="007D2E57" w:rsidRDefault="007D2E57" w:rsidP="0059317A">
      <w:pPr>
        <w:spacing w:line="240" w:lineRule="auto"/>
        <w:jc w:val="both"/>
        <w:rPr>
          <w:sz w:val="24"/>
          <w:szCs w:val="24"/>
        </w:rPr>
      </w:pPr>
    </w:p>
    <w:p w14:paraId="4745B0A2" w14:textId="77777777" w:rsidR="00041F01" w:rsidRPr="001408A2" w:rsidRDefault="00041F01" w:rsidP="0059317A">
      <w:pPr>
        <w:spacing w:line="240" w:lineRule="auto"/>
        <w:jc w:val="both"/>
        <w:rPr>
          <w:sz w:val="24"/>
          <w:szCs w:val="24"/>
        </w:rPr>
      </w:pPr>
      <w:r>
        <w:rPr>
          <w:sz w:val="24"/>
          <w:szCs w:val="24"/>
        </w:rPr>
        <w:lastRenderedPageBreak/>
        <w:t xml:space="preserve">La subcategoría </w:t>
      </w:r>
      <w:r w:rsidRPr="00DC708E">
        <w:rPr>
          <w:sz w:val="24"/>
          <w:szCs w:val="24"/>
        </w:rPr>
        <w:t xml:space="preserve">“Otros derivados a URAVIT” comprende </w:t>
      </w:r>
      <w:r>
        <w:rPr>
          <w:sz w:val="24"/>
          <w:szCs w:val="24"/>
        </w:rPr>
        <w:t xml:space="preserve">todas las prestaciones por protección </w:t>
      </w:r>
      <w:r w:rsidR="004B3D3D">
        <w:rPr>
          <w:sz w:val="24"/>
          <w:szCs w:val="24"/>
        </w:rPr>
        <w:t xml:space="preserve">y apoyo </w:t>
      </w:r>
      <w:r w:rsidRPr="00DC708E">
        <w:rPr>
          <w:sz w:val="24"/>
          <w:szCs w:val="24"/>
        </w:rPr>
        <w:t>no contemplad</w:t>
      </w:r>
      <w:r>
        <w:rPr>
          <w:sz w:val="24"/>
          <w:szCs w:val="24"/>
        </w:rPr>
        <w:t>a</w:t>
      </w:r>
      <w:r w:rsidRPr="00DC708E">
        <w:rPr>
          <w:sz w:val="24"/>
          <w:szCs w:val="24"/>
        </w:rPr>
        <w:t>s en los modelos mencionados previamente, pero que</w:t>
      </w:r>
      <w:r>
        <w:rPr>
          <w:sz w:val="24"/>
          <w:szCs w:val="24"/>
        </w:rPr>
        <w:t xml:space="preserve"> se entregaron a víctimas y testigos </w:t>
      </w:r>
      <w:r w:rsidRPr="00DC708E">
        <w:rPr>
          <w:sz w:val="24"/>
          <w:szCs w:val="24"/>
        </w:rPr>
        <w:t xml:space="preserve">derivados a la Unidad Regional de Atención a las Víctimas y Testigos (URAVIT) para </w:t>
      </w:r>
      <w:r w:rsidR="007D1BA5">
        <w:rPr>
          <w:sz w:val="24"/>
          <w:szCs w:val="24"/>
        </w:rPr>
        <w:t xml:space="preserve">la entrega </w:t>
      </w:r>
      <w:r w:rsidR="00663DDE">
        <w:rPr>
          <w:sz w:val="24"/>
          <w:szCs w:val="24"/>
        </w:rPr>
        <w:t xml:space="preserve">de </w:t>
      </w:r>
      <w:r w:rsidR="00663DDE" w:rsidRPr="00DC708E">
        <w:rPr>
          <w:sz w:val="24"/>
          <w:szCs w:val="24"/>
        </w:rPr>
        <w:t>atención</w:t>
      </w:r>
      <w:r w:rsidRPr="00DC708E">
        <w:rPr>
          <w:sz w:val="24"/>
          <w:szCs w:val="24"/>
        </w:rPr>
        <w:t xml:space="preserve"> especializada según las necesidades de la víctima</w:t>
      </w:r>
      <w:r w:rsidR="007D1BA5">
        <w:rPr>
          <w:sz w:val="24"/>
          <w:szCs w:val="24"/>
        </w:rPr>
        <w:t xml:space="preserve"> o testigo </w:t>
      </w:r>
      <w:r w:rsidRPr="00DC708E">
        <w:rPr>
          <w:sz w:val="24"/>
          <w:szCs w:val="24"/>
        </w:rPr>
        <w:t xml:space="preserve">y </w:t>
      </w:r>
      <w:r w:rsidR="007D1BA5">
        <w:rPr>
          <w:sz w:val="24"/>
          <w:szCs w:val="24"/>
        </w:rPr>
        <w:t xml:space="preserve">de las </w:t>
      </w:r>
      <w:r w:rsidRPr="00DC708E">
        <w:rPr>
          <w:sz w:val="24"/>
          <w:szCs w:val="24"/>
        </w:rPr>
        <w:t>características del delito</w:t>
      </w:r>
      <w:r>
        <w:rPr>
          <w:sz w:val="24"/>
          <w:szCs w:val="24"/>
        </w:rPr>
        <w:t xml:space="preserve">. En tanto, la subcategoría </w:t>
      </w:r>
      <w:r w:rsidRPr="00DC708E">
        <w:rPr>
          <w:sz w:val="24"/>
          <w:szCs w:val="24"/>
        </w:rPr>
        <w:t xml:space="preserve">“Otros” reúne </w:t>
      </w:r>
      <w:r w:rsidR="00663DDE" w:rsidRPr="00DC708E">
        <w:rPr>
          <w:sz w:val="24"/>
          <w:szCs w:val="24"/>
        </w:rPr>
        <w:t>tod</w:t>
      </w:r>
      <w:r w:rsidR="00663DDE">
        <w:rPr>
          <w:sz w:val="24"/>
          <w:szCs w:val="24"/>
        </w:rPr>
        <w:t>a</w:t>
      </w:r>
      <w:r w:rsidR="00663DDE" w:rsidRPr="00DC708E">
        <w:rPr>
          <w:sz w:val="24"/>
          <w:szCs w:val="24"/>
        </w:rPr>
        <w:t>s las demás prestaciones</w:t>
      </w:r>
      <w:r>
        <w:rPr>
          <w:sz w:val="24"/>
          <w:szCs w:val="24"/>
        </w:rPr>
        <w:t xml:space="preserve"> por protección </w:t>
      </w:r>
      <w:r w:rsidR="004B3D3D">
        <w:rPr>
          <w:sz w:val="24"/>
          <w:szCs w:val="24"/>
        </w:rPr>
        <w:t xml:space="preserve">y apoyo </w:t>
      </w:r>
      <w:r>
        <w:rPr>
          <w:sz w:val="24"/>
          <w:szCs w:val="24"/>
        </w:rPr>
        <w:t xml:space="preserve">en </w:t>
      </w:r>
      <w:r w:rsidRPr="001408A2">
        <w:rPr>
          <w:sz w:val="24"/>
          <w:szCs w:val="24"/>
        </w:rPr>
        <w:t xml:space="preserve">delitos no considerados en las otras clasificaciones. </w:t>
      </w:r>
    </w:p>
    <w:p w14:paraId="57961EED" w14:textId="77777777" w:rsidR="00A642A3" w:rsidRDefault="00A642A3" w:rsidP="0059317A">
      <w:pPr>
        <w:spacing w:line="240" w:lineRule="auto"/>
        <w:jc w:val="both"/>
        <w:rPr>
          <w:rFonts w:cs="Calibri"/>
          <w:sz w:val="24"/>
          <w:szCs w:val="24"/>
        </w:rPr>
      </w:pPr>
      <w:r w:rsidRPr="00F97F39">
        <w:rPr>
          <w:rFonts w:cs="Calibri"/>
          <w:sz w:val="24"/>
          <w:szCs w:val="24"/>
        </w:rPr>
        <w:t xml:space="preserve">A </w:t>
      </w:r>
      <w:r w:rsidR="00663DDE" w:rsidRPr="00F97F39">
        <w:rPr>
          <w:rFonts w:cs="Calibri"/>
          <w:sz w:val="24"/>
          <w:szCs w:val="24"/>
        </w:rPr>
        <w:t>continuación,</w:t>
      </w:r>
      <w:r w:rsidRPr="00F97F39">
        <w:rPr>
          <w:rFonts w:cs="Calibri"/>
          <w:sz w:val="24"/>
          <w:szCs w:val="24"/>
        </w:rPr>
        <w:t xml:space="preserve"> se presenta la ejecución presupuestaria del Fondo de Aportes Económicos desagregada por categoría de prestación.</w:t>
      </w:r>
    </w:p>
    <w:p w14:paraId="7B494B84" w14:textId="10EE06DE" w:rsidR="00003B16" w:rsidRPr="003C535D" w:rsidRDefault="00A642A3" w:rsidP="0059317A">
      <w:pPr>
        <w:spacing w:line="240" w:lineRule="auto"/>
        <w:jc w:val="both"/>
        <w:rPr>
          <w:sz w:val="24"/>
          <w:szCs w:val="24"/>
        </w:rPr>
      </w:pPr>
      <w:r w:rsidRPr="0059317A">
        <w:rPr>
          <w:b/>
          <w:sz w:val="24"/>
          <w:szCs w:val="24"/>
        </w:rPr>
        <w:t>Tabla N°</w:t>
      </w:r>
      <w:r w:rsidR="00275523" w:rsidRPr="0059317A">
        <w:rPr>
          <w:b/>
          <w:sz w:val="24"/>
          <w:szCs w:val="24"/>
        </w:rPr>
        <w:t>1:</w:t>
      </w:r>
      <w:r w:rsidR="00275523">
        <w:rPr>
          <w:sz w:val="24"/>
          <w:szCs w:val="24"/>
        </w:rPr>
        <w:t xml:space="preserve"> Ejecución</w:t>
      </w:r>
      <w:r>
        <w:rPr>
          <w:sz w:val="24"/>
          <w:szCs w:val="24"/>
        </w:rPr>
        <w:t xml:space="preserve"> Presupuest</w:t>
      </w:r>
      <w:r w:rsidR="00DB28C5">
        <w:rPr>
          <w:sz w:val="24"/>
          <w:szCs w:val="24"/>
        </w:rPr>
        <w:t>a</w:t>
      </w:r>
      <w:r w:rsidR="0059317A">
        <w:rPr>
          <w:sz w:val="24"/>
          <w:szCs w:val="24"/>
        </w:rPr>
        <w:t>ria FAE p</w:t>
      </w:r>
      <w:r w:rsidR="00DB28C5">
        <w:rPr>
          <w:sz w:val="24"/>
          <w:szCs w:val="24"/>
        </w:rPr>
        <w:t>or Categoría</w:t>
      </w:r>
      <w:r w:rsidR="0059317A">
        <w:rPr>
          <w:sz w:val="24"/>
          <w:szCs w:val="24"/>
        </w:rPr>
        <w:t>s</w:t>
      </w:r>
      <w:r w:rsidR="00DB28C5">
        <w:rPr>
          <w:sz w:val="24"/>
          <w:szCs w:val="24"/>
        </w:rPr>
        <w:t xml:space="preserve"> durante el </w:t>
      </w:r>
      <w:r w:rsidR="003C535D">
        <w:rPr>
          <w:sz w:val="24"/>
          <w:szCs w:val="24"/>
        </w:rPr>
        <w:t>tercer</w:t>
      </w:r>
      <w:r w:rsidR="00003B16">
        <w:rPr>
          <w:sz w:val="24"/>
          <w:szCs w:val="24"/>
        </w:rPr>
        <w:t xml:space="preserve"> trimestre</w:t>
      </w:r>
      <w:r w:rsidR="00275523">
        <w:rPr>
          <w:sz w:val="24"/>
          <w:szCs w:val="24"/>
        </w:rPr>
        <w:t xml:space="preserve"> </w:t>
      </w:r>
      <w:r w:rsidR="00663DDE">
        <w:rPr>
          <w:sz w:val="24"/>
          <w:szCs w:val="24"/>
        </w:rPr>
        <w:t xml:space="preserve">de </w:t>
      </w:r>
      <w:r w:rsidR="00144043">
        <w:rPr>
          <w:sz w:val="24"/>
          <w:szCs w:val="24"/>
        </w:rPr>
        <w:t>2024</w:t>
      </w:r>
      <w:r w:rsidR="003E246B">
        <w:rPr>
          <w:sz w:val="24"/>
          <w:szCs w:val="24"/>
        </w:rPr>
        <w:t>.</w:t>
      </w:r>
    </w:p>
    <w:tbl>
      <w:tblPr>
        <w:tblW w:w="8826" w:type="dxa"/>
        <w:tblCellMar>
          <w:left w:w="70" w:type="dxa"/>
          <w:right w:w="70" w:type="dxa"/>
        </w:tblCellMar>
        <w:tblLook w:val="04A0" w:firstRow="1" w:lastRow="0" w:firstColumn="1" w:lastColumn="0" w:noHBand="0" w:noVBand="1"/>
      </w:tblPr>
      <w:tblGrid>
        <w:gridCol w:w="2608"/>
        <w:gridCol w:w="2349"/>
        <w:gridCol w:w="2126"/>
        <w:gridCol w:w="1743"/>
      </w:tblGrid>
      <w:tr w:rsidR="003C535D" w:rsidRPr="003C535D" w14:paraId="6A44C67A" w14:textId="77777777" w:rsidTr="003C535D">
        <w:trPr>
          <w:trHeight w:val="293"/>
        </w:trPr>
        <w:tc>
          <w:tcPr>
            <w:tcW w:w="2608"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6101FDB" w14:textId="77777777" w:rsidR="003C535D" w:rsidRPr="003C535D" w:rsidRDefault="003C535D" w:rsidP="003C535D">
            <w:pPr>
              <w:spacing w:after="0" w:line="240" w:lineRule="auto"/>
              <w:rPr>
                <w:rFonts w:eastAsia="Times New Roman" w:cs="Calibri"/>
                <w:b/>
                <w:bCs/>
                <w:color w:val="000000"/>
                <w:lang w:eastAsia="es-CL"/>
              </w:rPr>
            </w:pPr>
            <w:r w:rsidRPr="003C535D">
              <w:rPr>
                <w:rFonts w:eastAsia="Times New Roman" w:cs="Calibri"/>
                <w:b/>
                <w:bCs/>
                <w:color w:val="000000"/>
                <w:lang w:eastAsia="es-CL"/>
              </w:rPr>
              <w:t>Categorías</w:t>
            </w:r>
          </w:p>
        </w:tc>
        <w:tc>
          <w:tcPr>
            <w:tcW w:w="2349" w:type="dxa"/>
            <w:tcBorders>
              <w:top w:val="single" w:sz="4" w:space="0" w:color="auto"/>
              <w:left w:val="nil"/>
              <w:bottom w:val="single" w:sz="4" w:space="0" w:color="auto"/>
              <w:right w:val="single" w:sz="4" w:space="0" w:color="auto"/>
            </w:tcBorders>
            <w:shd w:val="clear" w:color="000000" w:fill="DCE6F1"/>
            <w:noWrap/>
            <w:vAlign w:val="center"/>
            <w:hideMark/>
          </w:tcPr>
          <w:p w14:paraId="63A3095F" w14:textId="77777777" w:rsidR="003C535D" w:rsidRPr="003C535D" w:rsidRDefault="003C535D" w:rsidP="003C535D">
            <w:pPr>
              <w:spacing w:after="0" w:line="240" w:lineRule="auto"/>
              <w:jc w:val="center"/>
              <w:rPr>
                <w:rFonts w:eastAsia="Times New Roman" w:cs="Calibri"/>
                <w:b/>
                <w:bCs/>
                <w:color w:val="000000"/>
                <w:lang w:eastAsia="es-CL"/>
              </w:rPr>
            </w:pPr>
            <w:proofErr w:type="spellStart"/>
            <w:r w:rsidRPr="003C535D">
              <w:rPr>
                <w:rFonts w:eastAsia="Times New Roman" w:cs="Calibri"/>
                <w:b/>
                <w:bCs/>
                <w:color w:val="000000"/>
                <w:lang w:eastAsia="es-CL"/>
              </w:rPr>
              <w:t>N°</w:t>
            </w:r>
            <w:proofErr w:type="spellEnd"/>
            <w:r w:rsidRPr="003C535D">
              <w:rPr>
                <w:rFonts w:eastAsia="Times New Roman" w:cs="Calibri"/>
                <w:b/>
                <w:bCs/>
                <w:color w:val="000000"/>
                <w:lang w:eastAsia="es-CL"/>
              </w:rPr>
              <w:t xml:space="preserve"> de Prestaciones</w:t>
            </w:r>
          </w:p>
        </w:tc>
        <w:tc>
          <w:tcPr>
            <w:tcW w:w="2126" w:type="dxa"/>
            <w:tcBorders>
              <w:top w:val="single" w:sz="4" w:space="0" w:color="auto"/>
              <w:left w:val="nil"/>
              <w:bottom w:val="single" w:sz="4" w:space="0" w:color="auto"/>
              <w:right w:val="single" w:sz="4" w:space="0" w:color="auto"/>
            </w:tcBorders>
            <w:shd w:val="clear" w:color="000000" w:fill="DCE6F1"/>
            <w:noWrap/>
            <w:vAlign w:val="center"/>
            <w:hideMark/>
          </w:tcPr>
          <w:p w14:paraId="00AB6240"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Monto ($)</w:t>
            </w:r>
          </w:p>
        </w:tc>
        <w:tc>
          <w:tcPr>
            <w:tcW w:w="1743" w:type="dxa"/>
            <w:tcBorders>
              <w:top w:val="single" w:sz="4" w:space="0" w:color="auto"/>
              <w:left w:val="nil"/>
              <w:bottom w:val="single" w:sz="4" w:space="0" w:color="auto"/>
              <w:right w:val="single" w:sz="4" w:space="0" w:color="auto"/>
            </w:tcBorders>
            <w:shd w:val="clear" w:color="000000" w:fill="DCE6F1"/>
            <w:noWrap/>
            <w:vAlign w:val="center"/>
            <w:hideMark/>
          </w:tcPr>
          <w:p w14:paraId="49E4D178"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w:t>
            </w:r>
          </w:p>
        </w:tc>
      </w:tr>
      <w:tr w:rsidR="003C535D" w:rsidRPr="003C535D" w14:paraId="4FF24E2B" w14:textId="77777777" w:rsidTr="003C535D">
        <w:trPr>
          <w:trHeight w:val="293"/>
        </w:trPr>
        <w:tc>
          <w:tcPr>
            <w:tcW w:w="2608" w:type="dxa"/>
            <w:tcBorders>
              <w:top w:val="nil"/>
              <w:left w:val="single" w:sz="4" w:space="0" w:color="auto"/>
              <w:bottom w:val="single" w:sz="4" w:space="0" w:color="auto"/>
              <w:right w:val="single" w:sz="4" w:space="0" w:color="auto"/>
            </w:tcBorders>
            <w:shd w:val="clear" w:color="000000" w:fill="F2F2F2"/>
            <w:noWrap/>
            <w:vAlign w:val="center"/>
            <w:hideMark/>
          </w:tcPr>
          <w:p w14:paraId="6B7F3279"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Protección</w:t>
            </w:r>
          </w:p>
        </w:tc>
        <w:tc>
          <w:tcPr>
            <w:tcW w:w="2349" w:type="dxa"/>
            <w:tcBorders>
              <w:top w:val="nil"/>
              <w:left w:val="nil"/>
              <w:bottom w:val="single" w:sz="4" w:space="0" w:color="auto"/>
              <w:right w:val="single" w:sz="4" w:space="0" w:color="auto"/>
            </w:tcBorders>
            <w:shd w:val="clear" w:color="auto" w:fill="auto"/>
            <w:noWrap/>
            <w:vAlign w:val="center"/>
            <w:hideMark/>
          </w:tcPr>
          <w:p w14:paraId="09C04B57"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19.901</w:t>
            </w:r>
          </w:p>
        </w:tc>
        <w:tc>
          <w:tcPr>
            <w:tcW w:w="2126" w:type="dxa"/>
            <w:tcBorders>
              <w:top w:val="nil"/>
              <w:left w:val="nil"/>
              <w:bottom w:val="single" w:sz="4" w:space="0" w:color="auto"/>
              <w:right w:val="single" w:sz="4" w:space="0" w:color="auto"/>
            </w:tcBorders>
            <w:shd w:val="clear" w:color="auto" w:fill="auto"/>
            <w:noWrap/>
            <w:vAlign w:val="center"/>
            <w:hideMark/>
          </w:tcPr>
          <w:p w14:paraId="3116F3FD"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642.689.806</w:t>
            </w:r>
          </w:p>
        </w:tc>
        <w:tc>
          <w:tcPr>
            <w:tcW w:w="1743" w:type="dxa"/>
            <w:tcBorders>
              <w:top w:val="nil"/>
              <w:left w:val="nil"/>
              <w:bottom w:val="single" w:sz="4" w:space="0" w:color="auto"/>
              <w:right w:val="single" w:sz="4" w:space="0" w:color="auto"/>
            </w:tcBorders>
            <w:shd w:val="clear" w:color="auto" w:fill="auto"/>
            <w:noWrap/>
            <w:vAlign w:val="center"/>
            <w:hideMark/>
          </w:tcPr>
          <w:p w14:paraId="589B1144" w14:textId="77777777" w:rsidR="003C535D" w:rsidRPr="003C535D" w:rsidRDefault="003C535D" w:rsidP="003C535D">
            <w:pPr>
              <w:spacing w:after="0" w:line="240" w:lineRule="auto"/>
              <w:jc w:val="center"/>
              <w:rPr>
                <w:rFonts w:eastAsia="Times New Roman" w:cs="Calibri"/>
                <w:color w:val="000000"/>
                <w:lang w:eastAsia="es-CL"/>
              </w:rPr>
            </w:pPr>
            <w:r w:rsidRPr="003C535D">
              <w:rPr>
                <w:rFonts w:eastAsia="Times New Roman" w:cs="Calibri"/>
                <w:color w:val="000000"/>
                <w:lang w:eastAsia="es-CL"/>
              </w:rPr>
              <w:t>60,7%</w:t>
            </w:r>
          </w:p>
        </w:tc>
      </w:tr>
      <w:tr w:rsidR="003C535D" w:rsidRPr="003C535D" w14:paraId="3580626F" w14:textId="77777777" w:rsidTr="003C535D">
        <w:trPr>
          <w:trHeight w:val="293"/>
        </w:trPr>
        <w:tc>
          <w:tcPr>
            <w:tcW w:w="2608" w:type="dxa"/>
            <w:tcBorders>
              <w:top w:val="nil"/>
              <w:left w:val="single" w:sz="4" w:space="0" w:color="auto"/>
              <w:bottom w:val="single" w:sz="4" w:space="0" w:color="auto"/>
              <w:right w:val="single" w:sz="4" w:space="0" w:color="auto"/>
            </w:tcBorders>
            <w:shd w:val="clear" w:color="000000" w:fill="F2F2F2"/>
            <w:noWrap/>
            <w:vAlign w:val="center"/>
            <w:hideMark/>
          </w:tcPr>
          <w:p w14:paraId="1DADBA1D"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Apoyo</w:t>
            </w:r>
          </w:p>
        </w:tc>
        <w:tc>
          <w:tcPr>
            <w:tcW w:w="2349" w:type="dxa"/>
            <w:tcBorders>
              <w:top w:val="nil"/>
              <w:left w:val="nil"/>
              <w:bottom w:val="single" w:sz="4" w:space="0" w:color="auto"/>
              <w:right w:val="single" w:sz="4" w:space="0" w:color="auto"/>
            </w:tcBorders>
            <w:shd w:val="clear" w:color="auto" w:fill="auto"/>
            <w:noWrap/>
            <w:vAlign w:val="center"/>
            <w:hideMark/>
          </w:tcPr>
          <w:p w14:paraId="2CC9B2FE"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11.968</w:t>
            </w:r>
          </w:p>
        </w:tc>
        <w:tc>
          <w:tcPr>
            <w:tcW w:w="2126" w:type="dxa"/>
            <w:tcBorders>
              <w:top w:val="nil"/>
              <w:left w:val="nil"/>
              <w:bottom w:val="single" w:sz="4" w:space="0" w:color="auto"/>
              <w:right w:val="single" w:sz="4" w:space="0" w:color="auto"/>
            </w:tcBorders>
            <w:shd w:val="clear" w:color="auto" w:fill="auto"/>
            <w:noWrap/>
            <w:vAlign w:val="center"/>
            <w:hideMark/>
          </w:tcPr>
          <w:p w14:paraId="50E4868D"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394.815.928</w:t>
            </w:r>
          </w:p>
        </w:tc>
        <w:tc>
          <w:tcPr>
            <w:tcW w:w="1743" w:type="dxa"/>
            <w:tcBorders>
              <w:top w:val="nil"/>
              <w:left w:val="nil"/>
              <w:bottom w:val="single" w:sz="4" w:space="0" w:color="auto"/>
              <w:right w:val="single" w:sz="4" w:space="0" w:color="auto"/>
            </w:tcBorders>
            <w:shd w:val="clear" w:color="auto" w:fill="auto"/>
            <w:noWrap/>
            <w:vAlign w:val="center"/>
            <w:hideMark/>
          </w:tcPr>
          <w:p w14:paraId="6A0AA59D" w14:textId="77777777" w:rsidR="003C535D" w:rsidRPr="003C535D" w:rsidRDefault="003C535D" w:rsidP="003C535D">
            <w:pPr>
              <w:spacing w:after="0" w:line="240" w:lineRule="auto"/>
              <w:jc w:val="center"/>
              <w:rPr>
                <w:rFonts w:eastAsia="Times New Roman" w:cs="Calibri"/>
                <w:color w:val="000000"/>
                <w:lang w:eastAsia="es-CL"/>
              </w:rPr>
            </w:pPr>
            <w:r w:rsidRPr="003C535D">
              <w:rPr>
                <w:rFonts w:eastAsia="Times New Roman" w:cs="Calibri"/>
                <w:color w:val="000000"/>
                <w:lang w:eastAsia="es-CL"/>
              </w:rPr>
              <w:t>37,3%</w:t>
            </w:r>
          </w:p>
        </w:tc>
      </w:tr>
      <w:tr w:rsidR="003C535D" w:rsidRPr="003C535D" w14:paraId="27D003B4" w14:textId="77777777" w:rsidTr="003C535D">
        <w:trPr>
          <w:trHeight w:val="293"/>
        </w:trPr>
        <w:tc>
          <w:tcPr>
            <w:tcW w:w="2608" w:type="dxa"/>
            <w:tcBorders>
              <w:top w:val="nil"/>
              <w:left w:val="single" w:sz="4" w:space="0" w:color="auto"/>
              <w:bottom w:val="single" w:sz="4" w:space="0" w:color="auto"/>
              <w:right w:val="single" w:sz="4" w:space="0" w:color="auto"/>
            </w:tcBorders>
            <w:shd w:val="clear" w:color="000000" w:fill="F2F2F2"/>
            <w:noWrap/>
            <w:vAlign w:val="center"/>
            <w:hideMark/>
          </w:tcPr>
          <w:p w14:paraId="194D1378"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Compras Centralizadas</w:t>
            </w:r>
          </w:p>
        </w:tc>
        <w:tc>
          <w:tcPr>
            <w:tcW w:w="2349" w:type="dxa"/>
            <w:tcBorders>
              <w:top w:val="nil"/>
              <w:left w:val="nil"/>
              <w:bottom w:val="single" w:sz="4" w:space="0" w:color="auto"/>
              <w:right w:val="single" w:sz="4" w:space="0" w:color="auto"/>
            </w:tcBorders>
            <w:shd w:val="clear" w:color="auto" w:fill="auto"/>
            <w:noWrap/>
            <w:vAlign w:val="center"/>
            <w:hideMark/>
          </w:tcPr>
          <w:p w14:paraId="3CF09F96"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120</w:t>
            </w:r>
          </w:p>
        </w:tc>
        <w:tc>
          <w:tcPr>
            <w:tcW w:w="2126" w:type="dxa"/>
            <w:tcBorders>
              <w:top w:val="nil"/>
              <w:left w:val="nil"/>
              <w:bottom w:val="single" w:sz="4" w:space="0" w:color="auto"/>
              <w:right w:val="single" w:sz="4" w:space="0" w:color="auto"/>
            </w:tcBorders>
            <w:shd w:val="clear" w:color="auto" w:fill="auto"/>
            <w:noWrap/>
            <w:vAlign w:val="center"/>
            <w:hideMark/>
          </w:tcPr>
          <w:p w14:paraId="762711C9"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21.718.479</w:t>
            </w:r>
          </w:p>
        </w:tc>
        <w:tc>
          <w:tcPr>
            <w:tcW w:w="1743" w:type="dxa"/>
            <w:tcBorders>
              <w:top w:val="nil"/>
              <w:left w:val="nil"/>
              <w:bottom w:val="single" w:sz="4" w:space="0" w:color="auto"/>
              <w:right w:val="single" w:sz="4" w:space="0" w:color="auto"/>
            </w:tcBorders>
            <w:shd w:val="clear" w:color="auto" w:fill="auto"/>
            <w:noWrap/>
            <w:vAlign w:val="center"/>
            <w:hideMark/>
          </w:tcPr>
          <w:p w14:paraId="53E2331F" w14:textId="77777777" w:rsidR="003C535D" w:rsidRPr="003C535D" w:rsidRDefault="003C535D" w:rsidP="003C535D">
            <w:pPr>
              <w:spacing w:after="0" w:line="240" w:lineRule="auto"/>
              <w:jc w:val="center"/>
              <w:rPr>
                <w:rFonts w:eastAsia="Times New Roman" w:cs="Calibri"/>
                <w:color w:val="000000"/>
                <w:lang w:eastAsia="es-CL"/>
              </w:rPr>
            </w:pPr>
            <w:r w:rsidRPr="003C535D">
              <w:rPr>
                <w:rFonts w:eastAsia="Times New Roman" w:cs="Calibri"/>
                <w:color w:val="000000"/>
                <w:lang w:eastAsia="es-CL"/>
              </w:rPr>
              <w:t>2,1%</w:t>
            </w:r>
          </w:p>
        </w:tc>
      </w:tr>
      <w:tr w:rsidR="003C535D" w:rsidRPr="003C535D" w14:paraId="1E999FE8" w14:textId="77777777" w:rsidTr="003C535D">
        <w:trPr>
          <w:trHeight w:val="293"/>
        </w:trPr>
        <w:tc>
          <w:tcPr>
            <w:tcW w:w="2608" w:type="dxa"/>
            <w:tcBorders>
              <w:top w:val="nil"/>
              <w:left w:val="single" w:sz="4" w:space="0" w:color="auto"/>
              <w:bottom w:val="single" w:sz="4" w:space="0" w:color="auto"/>
              <w:right w:val="single" w:sz="4" w:space="0" w:color="auto"/>
            </w:tcBorders>
            <w:shd w:val="clear" w:color="DCE6F1" w:fill="DCE6F1"/>
            <w:noWrap/>
            <w:vAlign w:val="center"/>
            <w:hideMark/>
          </w:tcPr>
          <w:p w14:paraId="722AE941" w14:textId="77777777" w:rsidR="003C535D" w:rsidRPr="003C535D" w:rsidRDefault="003C535D" w:rsidP="003C535D">
            <w:pPr>
              <w:spacing w:after="0" w:line="240" w:lineRule="auto"/>
              <w:rPr>
                <w:rFonts w:eastAsia="Times New Roman" w:cs="Calibri"/>
                <w:b/>
                <w:bCs/>
                <w:color w:val="000000"/>
                <w:lang w:eastAsia="es-CL"/>
              </w:rPr>
            </w:pPr>
            <w:proofErr w:type="gramStart"/>
            <w:r w:rsidRPr="003C535D">
              <w:rPr>
                <w:rFonts w:eastAsia="Times New Roman" w:cs="Calibri"/>
                <w:b/>
                <w:bCs/>
                <w:color w:val="000000"/>
                <w:lang w:eastAsia="es-CL"/>
              </w:rPr>
              <w:t>Total</w:t>
            </w:r>
            <w:proofErr w:type="gramEnd"/>
            <w:r w:rsidRPr="003C535D">
              <w:rPr>
                <w:rFonts w:eastAsia="Times New Roman" w:cs="Calibri"/>
                <w:b/>
                <w:bCs/>
                <w:color w:val="000000"/>
                <w:lang w:eastAsia="es-CL"/>
              </w:rPr>
              <w:t xml:space="preserve"> general</w:t>
            </w:r>
          </w:p>
        </w:tc>
        <w:tc>
          <w:tcPr>
            <w:tcW w:w="2349" w:type="dxa"/>
            <w:tcBorders>
              <w:top w:val="nil"/>
              <w:left w:val="nil"/>
              <w:bottom w:val="single" w:sz="4" w:space="0" w:color="auto"/>
              <w:right w:val="single" w:sz="4" w:space="0" w:color="auto"/>
            </w:tcBorders>
            <w:shd w:val="clear" w:color="DCE6F1" w:fill="DCE6F1"/>
            <w:noWrap/>
            <w:vAlign w:val="center"/>
            <w:hideMark/>
          </w:tcPr>
          <w:p w14:paraId="73434CC9"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31.989</w:t>
            </w:r>
          </w:p>
        </w:tc>
        <w:tc>
          <w:tcPr>
            <w:tcW w:w="2126" w:type="dxa"/>
            <w:tcBorders>
              <w:top w:val="nil"/>
              <w:left w:val="nil"/>
              <w:bottom w:val="single" w:sz="4" w:space="0" w:color="auto"/>
              <w:right w:val="single" w:sz="4" w:space="0" w:color="auto"/>
            </w:tcBorders>
            <w:shd w:val="clear" w:color="DCE6F1" w:fill="DCE6F1"/>
            <w:noWrap/>
            <w:vAlign w:val="center"/>
            <w:hideMark/>
          </w:tcPr>
          <w:p w14:paraId="77E5A3B1"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1.059.224.213</w:t>
            </w:r>
          </w:p>
        </w:tc>
        <w:tc>
          <w:tcPr>
            <w:tcW w:w="1743" w:type="dxa"/>
            <w:tcBorders>
              <w:top w:val="nil"/>
              <w:left w:val="nil"/>
              <w:bottom w:val="single" w:sz="4" w:space="0" w:color="auto"/>
              <w:right w:val="single" w:sz="4" w:space="0" w:color="auto"/>
            </w:tcBorders>
            <w:shd w:val="clear" w:color="000000" w:fill="DCE6F1"/>
            <w:noWrap/>
            <w:vAlign w:val="center"/>
            <w:hideMark/>
          </w:tcPr>
          <w:p w14:paraId="3FC5B410"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100,0%</w:t>
            </w:r>
          </w:p>
        </w:tc>
      </w:tr>
      <w:tr w:rsidR="003C535D" w:rsidRPr="003C535D" w14:paraId="1D20A777" w14:textId="77777777" w:rsidTr="003C535D">
        <w:trPr>
          <w:trHeight w:val="293"/>
        </w:trPr>
        <w:tc>
          <w:tcPr>
            <w:tcW w:w="8826" w:type="dxa"/>
            <w:gridSpan w:val="4"/>
            <w:tcBorders>
              <w:top w:val="single" w:sz="4" w:space="0" w:color="auto"/>
              <w:left w:val="nil"/>
              <w:bottom w:val="nil"/>
              <w:right w:val="nil"/>
            </w:tcBorders>
            <w:shd w:val="clear" w:color="auto" w:fill="auto"/>
            <w:noWrap/>
            <w:vAlign w:val="center"/>
            <w:hideMark/>
          </w:tcPr>
          <w:p w14:paraId="5B3B8ECA" w14:textId="77777777" w:rsidR="003C535D" w:rsidRDefault="003C535D" w:rsidP="003C535D">
            <w:pPr>
              <w:spacing w:after="0" w:line="240" w:lineRule="auto"/>
              <w:jc w:val="center"/>
              <w:rPr>
                <w:rFonts w:eastAsia="Times New Roman" w:cs="Calibri"/>
                <w:color w:val="000000"/>
                <w:sz w:val="16"/>
                <w:szCs w:val="16"/>
                <w:lang w:eastAsia="es-CL"/>
              </w:rPr>
            </w:pPr>
            <w:r w:rsidRPr="003C535D">
              <w:rPr>
                <w:rFonts w:eastAsia="Times New Roman" w:cs="Calibri"/>
                <w:color w:val="000000"/>
                <w:sz w:val="16"/>
                <w:szCs w:val="16"/>
                <w:lang w:eastAsia="es-CL"/>
              </w:rPr>
              <w:t>Fuente Información: Sistema Informático OPA MAPVT</w:t>
            </w:r>
          </w:p>
          <w:p w14:paraId="7072C984" w14:textId="77777777" w:rsidR="003C535D" w:rsidRDefault="003C535D" w:rsidP="003C535D">
            <w:pPr>
              <w:spacing w:after="0" w:line="240" w:lineRule="auto"/>
              <w:jc w:val="center"/>
              <w:rPr>
                <w:rFonts w:eastAsia="Times New Roman" w:cs="Calibri"/>
                <w:color w:val="000000"/>
                <w:sz w:val="16"/>
                <w:szCs w:val="16"/>
                <w:lang w:eastAsia="es-CL"/>
              </w:rPr>
            </w:pPr>
          </w:p>
          <w:p w14:paraId="069855CF" w14:textId="77777777" w:rsidR="003C535D" w:rsidRPr="003C535D" w:rsidRDefault="003C535D" w:rsidP="003C535D">
            <w:pPr>
              <w:spacing w:after="0" w:line="240" w:lineRule="auto"/>
              <w:jc w:val="center"/>
              <w:rPr>
                <w:rFonts w:eastAsia="Times New Roman" w:cs="Calibri"/>
                <w:color w:val="000000"/>
                <w:sz w:val="16"/>
                <w:szCs w:val="16"/>
                <w:lang w:eastAsia="es-CL"/>
              </w:rPr>
            </w:pPr>
          </w:p>
        </w:tc>
      </w:tr>
    </w:tbl>
    <w:p w14:paraId="39E75CBA" w14:textId="25EF6924" w:rsidR="00403F40" w:rsidRDefault="00A642A3" w:rsidP="0059317A">
      <w:pPr>
        <w:spacing w:line="240" w:lineRule="auto"/>
        <w:jc w:val="both"/>
        <w:rPr>
          <w:sz w:val="24"/>
          <w:szCs w:val="24"/>
        </w:rPr>
      </w:pPr>
      <w:r>
        <w:rPr>
          <w:sz w:val="24"/>
          <w:szCs w:val="24"/>
        </w:rPr>
        <w:t>En la siguiente tabla se expone</w:t>
      </w:r>
      <w:r w:rsidR="00403F40">
        <w:rPr>
          <w:sz w:val="24"/>
          <w:szCs w:val="24"/>
        </w:rPr>
        <w:t xml:space="preserve"> la ejecución presupuest</w:t>
      </w:r>
      <w:r w:rsidR="008D2314">
        <w:rPr>
          <w:sz w:val="24"/>
          <w:szCs w:val="24"/>
        </w:rPr>
        <w:t xml:space="preserve">aria acumulada desde el </w:t>
      </w:r>
      <w:r w:rsidR="003C535D">
        <w:rPr>
          <w:sz w:val="24"/>
          <w:szCs w:val="24"/>
        </w:rPr>
        <w:t>01 de julio al 30 de septiembre</w:t>
      </w:r>
      <w:r w:rsidR="00003B16">
        <w:rPr>
          <w:sz w:val="24"/>
          <w:szCs w:val="24"/>
        </w:rPr>
        <w:t xml:space="preserve"> de 2024</w:t>
      </w:r>
      <w:r w:rsidR="00795197">
        <w:rPr>
          <w:sz w:val="24"/>
          <w:szCs w:val="24"/>
        </w:rPr>
        <w:t>,</w:t>
      </w:r>
      <w:r w:rsidR="00403F40">
        <w:rPr>
          <w:sz w:val="24"/>
          <w:szCs w:val="24"/>
        </w:rPr>
        <w:t xml:space="preserve"> donde se describen los gastos acumulados para el periodo señalado, según el clasificador interno de Prestaciones por concepto de </w:t>
      </w:r>
      <w:r w:rsidR="001408A2">
        <w:rPr>
          <w:sz w:val="24"/>
          <w:szCs w:val="24"/>
        </w:rPr>
        <w:t>P</w:t>
      </w:r>
      <w:r w:rsidR="00403F40">
        <w:rPr>
          <w:sz w:val="24"/>
          <w:szCs w:val="24"/>
        </w:rPr>
        <w:t xml:space="preserve">rotección y </w:t>
      </w:r>
      <w:r w:rsidR="001408A2">
        <w:rPr>
          <w:sz w:val="24"/>
          <w:szCs w:val="24"/>
        </w:rPr>
        <w:t>Apoyo</w:t>
      </w:r>
      <w:r w:rsidR="00403F40">
        <w:rPr>
          <w:sz w:val="24"/>
          <w:szCs w:val="24"/>
        </w:rPr>
        <w:t xml:space="preserve"> </w:t>
      </w:r>
      <w:r w:rsidR="007B630B">
        <w:rPr>
          <w:sz w:val="24"/>
          <w:szCs w:val="24"/>
        </w:rPr>
        <w:t xml:space="preserve">en la atención </w:t>
      </w:r>
      <w:r w:rsidR="00403F40">
        <w:rPr>
          <w:sz w:val="24"/>
          <w:szCs w:val="24"/>
        </w:rPr>
        <w:t>a víctimas y testigos del Ministerio Público.</w:t>
      </w:r>
    </w:p>
    <w:p w14:paraId="7BDD0CE8" w14:textId="6CEF49ED" w:rsidR="008053C1" w:rsidRDefault="00A642A3" w:rsidP="0059317A">
      <w:pPr>
        <w:spacing w:line="240" w:lineRule="auto"/>
        <w:jc w:val="both"/>
        <w:rPr>
          <w:sz w:val="24"/>
          <w:szCs w:val="24"/>
        </w:rPr>
      </w:pPr>
      <w:r w:rsidRPr="0059317A">
        <w:rPr>
          <w:b/>
          <w:sz w:val="24"/>
          <w:szCs w:val="24"/>
        </w:rPr>
        <w:t xml:space="preserve">Tabla </w:t>
      </w:r>
      <w:proofErr w:type="spellStart"/>
      <w:r w:rsidRPr="0059317A">
        <w:rPr>
          <w:b/>
          <w:sz w:val="24"/>
          <w:szCs w:val="24"/>
        </w:rPr>
        <w:t>N°</w:t>
      </w:r>
      <w:proofErr w:type="spellEnd"/>
      <w:r w:rsidRPr="0059317A">
        <w:rPr>
          <w:b/>
          <w:sz w:val="24"/>
          <w:szCs w:val="24"/>
        </w:rPr>
        <w:t xml:space="preserve"> 2</w:t>
      </w:r>
      <w:r w:rsidR="00023196" w:rsidRPr="0059317A">
        <w:rPr>
          <w:b/>
          <w:sz w:val="24"/>
          <w:szCs w:val="24"/>
        </w:rPr>
        <w:t>:</w:t>
      </w:r>
      <w:r w:rsidR="00023196" w:rsidRPr="00AA7A01">
        <w:rPr>
          <w:sz w:val="24"/>
          <w:szCs w:val="24"/>
        </w:rPr>
        <w:t xml:space="preserve"> Descripción de lo</w:t>
      </w:r>
      <w:r w:rsidR="008D2314" w:rsidRPr="00AA7A01">
        <w:rPr>
          <w:sz w:val="24"/>
          <w:szCs w:val="24"/>
        </w:rPr>
        <w:t xml:space="preserve">s gastos acumulados durante el </w:t>
      </w:r>
      <w:r w:rsidR="003C535D">
        <w:rPr>
          <w:sz w:val="24"/>
          <w:szCs w:val="24"/>
        </w:rPr>
        <w:t>tercer trimestre</w:t>
      </w:r>
      <w:r w:rsidR="002B7BB9">
        <w:rPr>
          <w:sz w:val="24"/>
          <w:szCs w:val="24"/>
        </w:rPr>
        <w:t xml:space="preserve"> del año 2024</w:t>
      </w:r>
      <w:r w:rsidR="00023196" w:rsidRPr="00AA7A01">
        <w:rPr>
          <w:sz w:val="24"/>
          <w:szCs w:val="24"/>
        </w:rPr>
        <w:t xml:space="preserve">, según Clasificador Interno de Prestaciones por concepto de </w:t>
      </w:r>
      <w:r w:rsidR="007B630B">
        <w:rPr>
          <w:sz w:val="24"/>
          <w:szCs w:val="24"/>
        </w:rPr>
        <w:t>Protección y A</w:t>
      </w:r>
      <w:r w:rsidR="00023196" w:rsidRPr="00AA7A01">
        <w:rPr>
          <w:sz w:val="24"/>
          <w:szCs w:val="24"/>
        </w:rPr>
        <w:t xml:space="preserve">poyo </w:t>
      </w:r>
      <w:r w:rsidR="007B630B">
        <w:rPr>
          <w:sz w:val="24"/>
          <w:szCs w:val="24"/>
        </w:rPr>
        <w:t>en la</w:t>
      </w:r>
      <w:r w:rsidR="00023196" w:rsidRPr="00AA7A01">
        <w:rPr>
          <w:sz w:val="24"/>
          <w:szCs w:val="24"/>
        </w:rPr>
        <w:t xml:space="preserve"> atención a Víctimas y testigos del Ministerio Público.</w:t>
      </w:r>
    </w:p>
    <w:tbl>
      <w:tblPr>
        <w:tblW w:w="8828" w:type="dxa"/>
        <w:tblCellMar>
          <w:left w:w="70" w:type="dxa"/>
          <w:right w:w="70" w:type="dxa"/>
        </w:tblCellMar>
        <w:tblLook w:val="04A0" w:firstRow="1" w:lastRow="0" w:firstColumn="1" w:lastColumn="0" w:noHBand="0" w:noVBand="1"/>
      </w:tblPr>
      <w:tblGrid>
        <w:gridCol w:w="3823"/>
        <w:gridCol w:w="1701"/>
        <w:gridCol w:w="1559"/>
        <w:gridCol w:w="1745"/>
      </w:tblGrid>
      <w:tr w:rsidR="00616597" w:rsidRPr="003C535D" w14:paraId="0C24A98D" w14:textId="77777777" w:rsidTr="00616597">
        <w:trPr>
          <w:trHeight w:val="300"/>
        </w:trPr>
        <w:tc>
          <w:tcPr>
            <w:tcW w:w="3823"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B2F96B3" w14:textId="77777777" w:rsidR="003C535D" w:rsidRPr="003C535D" w:rsidRDefault="003C535D" w:rsidP="003C535D">
            <w:pPr>
              <w:spacing w:after="0" w:line="240" w:lineRule="auto"/>
              <w:rPr>
                <w:rFonts w:eastAsia="Times New Roman" w:cs="Calibri"/>
                <w:b/>
                <w:bCs/>
                <w:color w:val="000000"/>
                <w:lang w:eastAsia="es-CL"/>
              </w:rPr>
            </w:pPr>
            <w:r w:rsidRPr="003C535D">
              <w:rPr>
                <w:rFonts w:eastAsia="Times New Roman" w:cs="Calibri"/>
                <w:b/>
                <w:bCs/>
                <w:color w:val="000000"/>
                <w:lang w:eastAsia="es-CL"/>
              </w:rPr>
              <w:t>Ítems Prestaciones</w:t>
            </w:r>
          </w:p>
        </w:tc>
        <w:tc>
          <w:tcPr>
            <w:tcW w:w="3260" w:type="dxa"/>
            <w:gridSpan w:val="2"/>
            <w:tcBorders>
              <w:top w:val="single" w:sz="4" w:space="0" w:color="auto"/>
              <w:left w:val="nil"/>
              <w:bottom w:val="single" w:sz="4" w:space="0" w:color="auto"/>
              <w:right w:val="single" w:sz="4" w:space="0" w:color="auto"/>
            </w:tcBorders>
            <w:shd w:val="clear" w:color="000000" w:fill="DCE6F1"/>
            <w:noWrap/>
            <w:vAlign w:val="center"/>
            <w:hideMark/>
          </w:tcPr>
          <w:p w14:paraId="6BB54F94"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Categorías</w:t>
            </w:r>
          </w:p>
        </w:tc>
        <w:tc>
          <w:tcPr>
            <w:tcW w:w="1745" w:type="dxa"/>
            <w:vMerge w:val="restart"/>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5BAD907" w14:textId="77777777" w:rsidR="003C535D" w:rsidRPr="003C535D" w:rsidRDefault="003C535D" w:rsidP="003C535D">
            <w:pPr>
              <w:spacing w:after="0" w:line="240" w:lineRule="auto"/>
              <w:jc w:val="center"/>
              <w:rPr>
                <w:rFonts w:eastAsia="Times New Roman" w:cs="Calibri"/>
                <w:b/>
                <w:bCs/>
                <w:color w:val="000000"/>
                <w:lang w:eastAsia="es-CL"/>
              </w:rPr>
            </w:pPr>
            <w:proofErr w:type="gramStart"/>
            <w:r w:rsidRPr="003C535D">
              <w:rPr>
                <w:rFonts w:eastAsia="Times New Roman" w:cs="Calibri"/>
                <w:b/>
                <w:bCs/>
                <w:color w:val="000000"/>
                <w:lang w:eastAsia="es-CL"/>
              </w:rPr>
              <w:t>Total</w:t>
            </w:r>
            <w:proofErr w:type="gramEnd"/>
            <w:r w:rsidRPr="003C535D">
              <w:rPr>
                <w:rFonts w:eastAsia="Times New Roman" w:cs="Calibri"/>
                <w:b/>
                <w:bCs/>
                <w:color w:val="000000"/>
                <w:lang w:eastAsia="es-CL"/>
              </w:rPr>
              <w:t xml:space="preserve"> general</w:t>
            </w:r>
          </w:p>
        </w:tc>
      </w:tr>
      <w:tr w:rsidR="00616597" w:rsidRPr="003C535D" w14:paraId="72C99CE3" w14:textId="77777777" w:rsidTr="00616597">
        <w:trPr>
          <w:trHeight w:val="300"/>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75894F0D" w14:textId="77777777" w:rsidR="003C535D" w:rsidRPr="003C535D" w:rsidRDefault="003C535D" w:rsidP="003C535D">
            <w:pPr>
              <w:spacing w:after="0" w:line="240" w:lineRule="auto"/>
              <w:rPr>
                <w:rFonts w:eastAsia="Times New Roman" w:cs="Calibri"/>
                <w:b/>
                <w:bCs/>
                <w:color w:val="000000"/>
                <w:lang w:eastAsia="es-CL"/>
              </w:rPr>
            </w:pPr>
          </w:p>
        </w:tc>
        <w:tc>
          <w:tcPr>
            <w:tcW w:w="1701" w:type="dxa"/>
            <w:tcBorders>
              <w:top w:val="nil"/>
              <w:left w:val="nil"/>
              <w:bottom w:val="single" w:sz="4" w:space="0" w:color="auto"/>
              <w:right w:val="single" w:sz="4" w:space="0" w:color="auto"/>
            </w:tcBorders>
            <w:shd w:val="clear" w:color="000000" w:fill="DCE6F1"/>
            <w:noWrap/>
            <w:vAlign w:val="center"/>
            <w:hideMark/>
          </w:tcPr>
          <w:p w14:paraId="2FAA94D8"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Protección</w:t>
            </w:r>
          </w:p>
        </w:tc>
        <w:tc>
          <w:tcPr>
            <w:tcW w:w="1559" w:type="dxa"/>
            <w:tcBorders>
              <w:top w:val="nil"/>
              <w:left w:val="nil"/>
              <w:bottom w:val="single" w:sz="4" w:space="0" w:color="auto"/>
              <w:right w:val="single" w:sz="4" w:space="0" w:color="auto"/>
            </w:tcBorders>
            <w:shd w:val="clear" w:color="000000" w:fill="DCE6F1"/>
            <w:noWrap/>
            <w:vAlign w:val="center"/>
            <w:hideMark/>
          </w:tcPr>
          <w:p w14:paraId="3E1CE455" w14:textId="77777777" w:rsidR="003C535D" w:rsidRPr="003C535D" w:rsidRDefault="003C535D" w:rsidP="003C535D">
            <w:pPr>
              <w:spacing w:after="0" w:line="240" w:lineRule="auto"/>
              <w:jc w:val="center"/>
              <w:rPr>
                <w:rFonts w:eastAsia="Times New Roman" w:cs="Calibri"/>
                <w:b/>
                <w:bCs/>
                <w:color w:val="000000"/>
                <w:lang w:eastAsia="es-CL"/>
              </w:rPr>
            </w:pPr>
            <w:r w:rsidRPr="003C535D">
              <w:rPr>
                <w:rFonts w:eastAsia="Times New Roman" w:cs="Calibri"/>
                <w:b/>
                <w:bCs/>
                <w:color w:val="000000"/>
                <w:lang w:eastAsia="es-CL"/>
              </w:rPr>
              <w:t>Apoyo</w:t>
            </w:r>
          </w:p>
        </w:tc>
        <w:tc>
          <w:tcPr>
            <w:tcW w:w="1745" w:type="dxa"/>
            <w:vMerge/>
            <w:tcBorders>
              <w:top w:val="single" w:sz="4" w:space="0" w:color="auto"/>
              <w:left w:val="single" w:sz="4" w:space="0" w:color="auto"/>
              <w:bottom w:val="single" w:sz="4" w:space="0" w:color="auto"/>
              <w:right w:val="single" w:sz="4" w:space="0" w:color="auto"/>
            </w:tcBorders>
            <w:vAlign w:val="center"/>
            <w:hideMark/>
          </w:tcPr>
          <w:p w14:paraId="75705DC1" w14:textId="77777777" w:rsidR="003C535D" w:rsidRPr="003C535D" w:rsidRDefault="003C535D" w:rsidP="003C535D">
            <w:pPr>
              <w:spacing w:after="0" w:line="240" w:lineRule="auto"/>
              <w:rPr>
                <w:rFonts w:eastAsia="Times New Roman" w:cs="Calibri"/>
                <w:b/>
                <w:bCs/>
                <w:color w:val="000000"/>
                <w:lang w:eastAsia="es-CL"/>
              </w:rPr>
            </w:pPr>
          </w:p>
        </w:tc>
      </w:tr>
      <w:tr w:rsidR="00616597" w:rsidRPr="003C535D" w14:paraId="69024110"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3B94A055"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Traslado de personas</w:t>
            </w:r>
          </w:p>
        </w:tc>
        <w:tc>
          <w:tcPr>
            <w:tcW w:w="1701" w:type="dxa"/>
            <w:tcBorders>
              <w:top w:val="nil"/>
              <w:left w:val="nil"/>
              <w:bottom w:val="single" w:sz="4" w:space="0" w:color="auto"/>
              <w:right w:val="single" w:sz="4" w:space="0" w:color="auto"/>
            </w:tcBorders>
            <w:shd w:val="clear" w:color="auto" w:fill="auto"/>
            <w:noWrap/>
            <w:vAlign w:val="center"/>
            <w:hideMark/>
          </w:tcPr>
          <w:p w14:paraId="4FD7BE0F"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41.116.593</w:t>
            </w:r>
          </w:p>
        </w:tc>
        <w:tc>
          <w:tcPr>
            <w:tcW w:w="1559" w:type="dxa"/>
            <w:tcBorders>
              <w:top w:val="nil"/>
              <w:left w:val="nil"/>
              <w:bottom w:val="single" w:sz="4" w:space="0" w:color="auto"/>
              <w:right w:val="single" w:sz="4" w:space="0" w:color="auto"/>
            </w:tcBorders>
            <w:shd w:val="clear" w:color="auto" w:fill="auto"/>
            <w:noWrap/>
            <w:vAlign w:val="center"/>
            <w:hideMark/>
          </w:tcPr>
          <w:p w14:paraId="22A335D8"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237.754.480</w:t>
            </w:r>
          </w:p>
        </w:tc>
        <w:tc>
          <w:tcPr>
            <w:tcW w:w="1745" w:type="dxa"/>
            <w:tcBorders>
              <w:top w:val="nil"/>
              <w:left w:val="nil"/>
              <w:bottom w:val="single" w:sz="4" w:space="0" w:color="auto"/>
              <w:right w:val="single" w:sz="4" w:space="0" w:color="auto"/>
            </w:tcBorders>
            <w:shd w:val="clear" w:color="000000" w:fill="F2F2F2"/>
            <w:noWrap/>
            <w:vAlign w:val="center"/>
            <w:hideMark/>
          </w:tcPr>
          <w:p w14:paraId="6A5564A0"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278.871.073</w:t>
            </w:r>
          </w:p>
        </w:tc>
      </w:tr>
      <w:tr w:rsidR="00616597" w:rsidRPr="003C535D" w14:paraId="4867E654"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1686F515"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Gastos de alojamiento y/o alimentación</w:t>
            </w:r>
          </w:p>
        </w:tc>
        <w:tc>
          <w:tcPr>
            <w:tcW w:w="1701" w:type="dxa"/>
            <w:tcBorders>
              <w:top w:val="nil"/>
              <w:left w:val="nil"/>
              <w:bottom w:val="single" w:sz="4" w:space="0" w:color="auto"/>
              <w:right w:val="single" w:sz="4" w:space="0" w:color="auto"/>
            </w:tcBorders>
            <w:shd w:val="clear" w:color="auto" w:fill="auto"/>
            <w:noWrap/>
            <w:vAlign w:val="center"/>
            <w:hideMark/>
          </w:tcPr>
          <w:p w14:paraId="5274DA2E"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137.993.779</w:t>
            </w:r>
          </w:p>
        </w:tc>
        <w:tc>
          <w:tcPr>
            <w:tcW w:w="1559" w:type="dxa"/>
            <w:tcBorders>
              <w:top w:val="nil"/>
              <w:left w:val="nil"/>
              <w:bottom w:val="single" w:sz="4" w:space="0" w:color="auto"/>
              <w:right w:val="single" w:sz="4" w:space="0" w:color="auto"/>
            </w:tcBorders>
            <w:shd w:val="clear" w:color="auto" w:fill="auto"/>
            <w:noWrap/>
            <w:vAlign w:val="center"/>
            <w:hideMark/>
          </w:tcPr>
          <w:p w14:paraId="67E2EF59"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33.174.686</w:t>
            </w:r>
          </w:p>
        </w:tc>
        <w:tc>
          <w:tcPr>
            <w:tcW w:w="1745" w:type="dxa"/>
            <w:tcBorders>
              <w:top w:val="nil"/>
              <w:left w:val="nil"/>
              <w:bottom w:val="single" w:sz="4" w:space="0" w:color="auto"/>
              <w:right w:val="single" w:sz="4" w:space="0" w:color="auto"/>
            </w:tcBorders>
            <w:shd w:val="clear" w:color="000000" w:fill="F2F2F2"/>
            <w:noWrap/>
            <w:vAlign w:val="center"/>
            <w:hideMark/>
          </w:tcPr>
          <w:p w14:paraId="080524F8"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171.168.465</w:t>
            </w:r>
          </w:p>
        </w:tc>
      </w:tr>
      <w:tr w:rsidR="00616597" w:rsidRPr="003C535D" w14:paraId="124E9D48"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54FC131C"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Atención Sicológica/Siquiátrica</w:t>
            </w:r>
          </w:p>
        </w:tc>
        <w:tc>
          <w:tcPr>
            <w:tcW w:w="1701" w:type="dxa"/>
            <w:tcBorders>
              <w:top w:val="nil"/>
              <w:left w:val="nil"/>
              <w:bottom w:val="single" w:sz="4" w:space="0" w:color="auto"/>
              <w:right w:val="single" w:sz="4" w:space="0" w:color="auto"/>
            </w:tcBorders>
            <w:shd w:val="clear" w:color="auto" w:fill="auto"/>
            <w:noWrap/>
            <w:vAlign w:val="center"/>
            <w:hideMark/>
          </w:tcPr>
          <w:p w14:paraId="6575F6E8"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24.195.639</w:t>
            </w:r>
          </w:p>
        </w:tc>
        <w:tc>
          <w:tcPr>
            <w:tcW w:w="1559" w:type="dxa"/>
            <w:tcBorders>
              <w:top w:val="nil"/>
              <w:left w:val="nil"/>
              <w:bottom w:val="single" w:sz="4" w:space="0" w:color="auto"/>
              <w:right w:val="single" w:sz="4" w:space="0" w:color="auto"/>
            </w:tcBorders>
            <w:shd w:val="clear" w:color="auto" w:fill="auto"/>
            <w:noWrap/>
            <w:vAlign w:val="center"/>
            <w:hideMark/>
          </w:tcPr>
          <w:p w14:paraId="798E0509"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104.551.476</w:t>
            </w:r>
          </w:p>
        </w:tc>
        <w:tc>
          <w:tcPr>
            <w:tcW w:w="1745" w:type="dxa"/>
            <w:tcBorders>
              <w:top w:val="nil"/>
              <w:left w:val="nil"/>
              <w:bottom w:val="single" w:sz="4" w:space="0" w:color="auto"/>
              <w:right w:val="single" w:sz="4" w:space="0" w:color="auto"/>
            </w:tcBorders>
            <w:shd w:val="clear" w:color="000000" w:fill="F2F2F2"/>
            <w:noWrap/>
            <w:vAlign w:val="center"/>
            <w:hideMark/>
          </w:tcPr>
          <w:p w14:paraId="5864138B"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128.747.115</w:t>
            </w:r>
          </w:p>
        </w:tc>
      </w:tr>
      <w:tr w:rsidR="00616597" w:rsidRPr="003C535D" w14:paraId="44DC5B77"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6CF48834"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Asistencia social</w:t>
            </w:r>
          </w:p>
        </w:tc>
        <w:tc>
          <w:tcPr>
            <w:tcW w:w="1701" w:type="dxa"/>
            <w:tcBorders>
              <w:top w:val="nil"/>
              <w:left w:val="nil"/>
              <w:bottom w:val="single" w:sz="4" w:space="0" w:color="auto"/>
              <w:right w:val="single" w:sz="4" w:space="0" w:color="auto"/>
            </w:tcBorders>
            <w:shd w:val="clear" w:color="auto" w:fill="auto"/>
            <w:noWrap/>
            <w:vAlign w:val="center"/>
            <w:hideMark/>
          </w:tcPr>
          <w:p w14:paraId="7C1A23CE"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28.038.355</w:t>
            </w:r>
          </w:p>
        </w:tc>
        <w:tc>
          <w:tcPr>
            <w:tcW w:w="1559" w:type="dxa"/>
            <w:tcBorders>
              <w:top w:val="nil"/>
              <w:left w:val="nil"/>
              <w:bottom w:val="single" w:sz="4" w:space="0" w:color="auto"/>
              <w:right w:val="single" w:sz="4" w:space="0" w:color="auto"/>
            </w:tcBorders>
            <w:shd w:val="clear" w:color="000000" w:fill="D9D9D9"/>
            <w:noWrap/>
            <w:vAlign w:val="center"/>
            <w:hideMark/>
          </w:tcPr>
          <w:p w14:paraId="11DC8BDA"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 </w:t>
            </w:r>
          </w:p>
        </w:tc>
        <w:tc>
          <w:tcPr>
            <w:tcW w:w="1745" w:type="dxa"/>
            <w:tcBorders>
              <w:top w:val="nil"/>
              <w:left w:val="nil"/>
              <w:bottom w:val="single" w:sz="4" w:space="0" w:color="auto"/>
              <w:right w:val="single" w:sz="4" w:space="0" w:color="auto"/>
            </w:tcBorders>
            <w:shd w:val="clear" w:color="000000" w:fill="F2F2F2"/>
            <w:noWrap/>
            <w:vAlign w:val="center"/>
            <w:hideMark/>
          </w:tcPr>
          <w:p w14:paraId="54EDE0F8"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28.038.355</w:t>
            </w:r>
          </w:p>
        </w:tc>
      </w:tr>
      <w:tr w:rsidR="00616597" w:rsidRPr="003C535D" w14:paraId="1D1674FE"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54ADC81C"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Asistencia médica</w:t>
            </w:r>
          </w:p>
        </w:tc>
        <w:tc>
          <w:tcPr>
            <w:tcW w:w="1701" w:type="dxa"/>
            <w:tcBorders>
              <w:top w:val="nil"/>
              <w:left w:val="nil"/>
              <w:bottom w:val="single" w:sz="4" w:space="0" w:color="auto"/>
              <w:right w:val="single" w:sz="4" w:space="0" w:color="auto"/>
            </w:tcBorders>
            <w:shd w:val="clear" w:color="000000" w:fill="D9D9D9"/>
            <w:noWrap/>
            <w:vAlign w:val="center"/>
            <w:hideMark/>
          </w:tcPr>
          <w:p w14:paraId="29E2B8E2"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 </w:t>
            </w:r>
          </w:p>
        </w:tc>
        <w:tc>
          <w:tcPr>
            <w:tcW w:w="1559" w:type="dxa"/>
            <w:tcBorders>
              <w:top w:val="nil"/>
              <w:left w:val="nil"/>
              <w:bottom w:val="single" w:sz="4" w:space="0" w:color="auto"/>
              <w:right w:val="single" w:sz="4" w:space="0" w:color="auto"/>
            </w:tcBorders>
            <w:shd w:val="clear" w:color="auto" w:fill="auto"/>
            <w:noWrap/>
            <w:vAlign w:val="center"/>
            <w:hideMark/>
          </w:tcPr>
          <w:p w14:paraId="79DB805A"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2.208.619</w:t>
            </w:r>
          </w:p>
        </w:tc>
        <w:tc>
          <w:tcPr>
            <w:tcW w:w="1745" w:type="dxa"/>
            <w:tcBorders>
              <w:top w:val="nil"/>
              <w:left w:val="nil"/>
              <w:bottom w:val="single" w:sz="4" w:space="0" w:color="auto"/>
              <w:right w:val="single" w:sz="4" w:space="0" w:color="auto"/>
            </w:tcBorders>
            <w:shd w:val="clear" w:color="000000" w:fill="F2F2F2"/>
            <w:noWrap/>
            <w:vAlign w:val="center"/>
            <w:hideMark/>
          </w:tcPr>
          <w:p w14:paraId="74D7FD1F"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2.208.619</w:t>
            </w:r>
          </w:p>
        </w:tc>
      </w:tr>
      <w:tr w:rsidR="00616597" w:rsidRPr="003C535D" w14:paraId="484CC44E"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0192E8F4"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Indemnización por lucro cesante</w:t>
            </w:r>
          </w:p>
        </w:tc>
        <w:tc>
          <w:tcPr>
            <w:tcW w:w="1701" w:type="dxa"/>
            <w:tcBorders>
              <w:top w:val="nil"/>
              <w:left w:val="nil"/>
              <w:bottom w:val="single" w:sz="4" w:space="0" w:color="auto"/>
              <w:right w:val="single" w:sz="4" w:space="0" w:color="auto"/>
            </w:tcBorders>
            <w:shd w:val="clear" w:color="000000" w:fill="D9D9D9"/>
            <w:noWrap/>
            <w:vAlign w:val="center"/>
            <w:hideMark/>
          </w:tcPr>
          <w:p w14:paraId="7BFF8059"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 </w:t>
            </w:r>
          </w:p>
        </w:tc>
        <w:tc>
          <w:tcPr>
            <w:tcW w:w="1559" w:type="dxa"/>
            <w:tcBorders>
              <w:top w:val="nil"/>
              <w:left w:val="nil"/>
              <w:bottom w:val="single" w:sz="4" w:space="0" w:color="auto"/>
              <w:right w:val="single" w:sz="4" w:space="0" w:color="auto"/>
            </w:tcBorders>
            <w:shd w:val="clear" w:color="auto" w:fill="auto"/>
            <w:noWrap/>
            <w:vAlign w:val="center"/>
            <w:hideMark/>
          </w:tcPr>
          <w:p w14:paraId="13EBE0E1"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9.771.389</w:t>
            </w:r>
          </w:p>
        </w:tc>
        <w:tc>
          <w:tcPr>
            <w:tcW w:w="1745" w:type="dxa"/>
            <w:tcBorders>
              <w:top w:val="nil"/>
              <w:left w:val="nil"/>
              <w:bottom w:val="single" w:sz="4" w:space="0" w:color="auto"/>
              <w:right w:val="single" w:sz="4" w:space="0" w:color="auto"/>
            </w:tcBorders>
            <w:shd w:val="clear" w:color="000000" w:fill="F2F2F2"/>
            <w:noWrap/>
            <w:vAlign w:val="center"/>
            <w:hideMark/>
          </w:tcPr>
          <w:p w14:paraId="5B1ED135"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9.771.389</w:t>
            </w:r>
          </w:p>
        </w:tc>
      </w:tr>
      <w:tr w:rsidR="00616597" w:rsidRPr="003C535D" w14:paraId="75009CF8"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4413CD50"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Elementos de seguridad</w:t>
            </w:r>
          </w:p>
        </w:tc>
        <w:tc>
          <w:tcPr>
            <w:tcW w:w="1701" w:type="dxa"/>
            <w:tcBorders>
              <w:top w:val="nil"/>
              <w:left w:val="nil"/>
              <w:bottom w:val="single" w:sz="4" w:space="0" w:color="auto"/>
              <w:right w:val="single" w:sz="4" w:space="0" w:color="auto"/>
            </w:tcBorders>
            <w:shd w:val="clear" w:color="auto" w:fill="auto"/>
            <w:noWrap/>
            <w:vAlign w:val="center"/>
            <w:hideMark/>
          </w:tcPr>
          <w:p w14:paraId="46B83BE5"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404.155.731</w:t>
            </w:r>
          </w:p>
        </w:tc>
        <w:tc>
          <w:tcPr>
            <w:tcW w:w="1559" w:type="dxa"/>
            <w:tcBorders>
              <w:top w:val="nil"/>
              <w:left w:val="nil"/>
              <w:bottom w:val="single" w:sz="4" w:space="0" w:color="auto"/>
              <w:right w:val="single" w:sz="4" w:space="0" w:color="auto"/>
            </w:tcBorders>
            <w:shd w:val="clear" w:color="000000" w:fill="D9D9D9"/>
            <w:noWrap/>
            <w:vAlign w:val="center"/>
            <w:hideMark/>
          </w:tcPr>
          <w:p w14:paraId="24DEA51F"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 </w:t>
            </w:r>
          </w:p>
        </w:tc>
        <w:tc>
          <w:tcPr>
            <w:tcW w:w="1745" w:type="dxa"/>
            <w:tcBorders>
              <w:top w:val="nil"/>
              <w:left w:val="nil"/>
              <w:bottom w:val="single" w:sz="4" w:space="0" w:color="auto"/>
              <w:right w:val="single" w:sz="4" w:space="0" w:color="auto"/>
            </w:tcBorders>
            <w:shd w:val="clear" w:color="000000" w:fill="F2F2F2"/>
            <w:noWrap/>
            <w:vAlign w:val="center"/>
            <w:hideMark/>
          </w:tcPr>
          <w:p w14:paraId="0C716371"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404.155.731</w:t>
            </w:r>
          </w:p>
        </w:tc>
      </w:tr>
      <w:tr w:rsidR="00616597" w:rsidRPr="003C535D" w14:paraId="42CB40AE"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F2F2F2"/>
            <w:noWrap/>
            <w:vAlign w:val="center"/>
            <w:hideMark/>
          </w:tcPr>
          <w:p w14:paraId="3392DBC4" w14:textId="77777777" w:rsidR="003C535D" w:rsidRPr="003C535D" w:rsidRDefault="003C535D" w:rsidP="003C535D">
            <w:pPr>
              <w:spacing w:after="0" w:line="240" w:lineRule="auto"/>
              <w:rPr>
                <w:rFonts w:eastAsia="Times New Roman" w:cs="Calibri"/>
                <w:color w:val="000000"/>
                <w:lang w:eastAsia="es-CL"/>
              </w:rPr>
            </w:pPr>
            <w:r w:rsidRPr="003C535D">
              <w:rPr>
                <w:rFonts w:eastAsia="Times New Roman" w:cs="Calibri"/>
                <w:color w:val="000000"/>
                <w:lang w:eastAsia="es-CL"/>
              </w:rPr>
              <w:t>Otros</w:t>
            </w:r>
          </w:p>
        </w:tc>
        <w:tc>
          <w:tcPr>
            <w:tcW w:w="1701" w:type="dxa"/>
            <w:tcBorders>
              <w:top w:val="nil"/>
              <w:left w:val="nil"/>
              <w:bottom w:val="single" w:sz="4" w:space="0" w:color="auto"/>
              <w:right w:val="single" w:sz="4" w:space="0" w:color="auto"/>
            </w:tcBorders>
            <w:shd w:val="clear" w:color="auto" w:fill="auto"/>
            <w:noWrap/>
            <w:vAlign w:val="center"/>
            <w:hideMark/>
          </w:tcPr>
          <w:p w14:paraId="2405C9D8"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26.795.778</w:t>
            </w:r>
          </w:p>
        </w:tc>
        <w:tc>
          <w:tcPr>
            <w:tcW w:w="1559" w:type="dxa"/>
            <w:tcBorders>
              <w:top w:val="nil"/>
              <w:left w:val="nil"/>
              <w:bottom w:val="single" w:sz="4" w:space="0" w:color="auto"/>
              <w:right w:val="single" w:sz="4" w:space="0" w:color="auto"/>
            </w:tcBorders>
            <w:shd w:val="clear" w:color="auto" w:fill="auto"/>
            <w:noWrap/>
            <w:vAlign w:val="center"/>
            <w:hideMark/>
          </w:tcPr>
          <w:p w14:paraId="0D1D1C91" w14:textId="77777777" w:rsidR="003C535D" w:rsidRPr="003C535D" w:rsidRDefault="003C535D" w:rsidP="003C535D">
            <w:pPr>
              <w:spacing w:after="0" w:line="240" w:lineRule="auto"/>
              <w:jc w:val="right"/>
              <w:rPr>
                <w:rFonts w:eastAsia="Times New Roman" w:cs="Calibri"/>
                <w:color w:val="000000"/>
                <w:lang w:eastAsia="es-CL"/>
              </w:rPr>
            </w:pPr>
            <w:r w:rsidRPr="003C535D">
              <w:rPr>
                <w:rFonts w:eastAsia="Times New Roman" w:cs="Calibri"/>
                <w:color w:val="000000"/>
                <w:lang w:eastAsia="es-CL"/>
              </w:rPr>
              <w:t>9.467.688</w:t>
            </w:r>
          </w:p>
        </w:tc>
        <w:tc>
          <w:tcPr>
            <w:tcW w:w="1745" w:type="dxa"/>
            <w:tcBorders>
              <w:top w:val="nil"/>
              <w:left w:val="nil"/>
              <w:bottom w:val="single" w:sz="4" w:space="0" w:color="auto"/>
              <w:right w:val="single" w:sz="4" w:space="0" w:color="auto"/>
            </w:tcBorders>
            <w:shd w:val="clear" w:color="000000" w:fill="F2F2F2"/>
            <w:noWrap/>
            <w:vAlign w:val="center"/>
            <w:hideMark/>
          </w:tcPr>
          <w:p w14:paraId="30DDA9E3"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36.263.466</w:t>
            </w:r>
          </w:p>
        </w:tc>
      </w:tr>
      <w:tr w:rsidR="00616597" w:rsidRPr="003C535D" w14:paraId="1FFF7D7F" w14:textId="77777777" w:rsidTr="00616597">
        <w:trPr>
          <w:trHeight w:val="300"/>
        </w:trPr>
        <w:tc>
          <w:tcPr>
            <w:tcW w:w="3823" w:type="dxa"/>
            <w:tcBorders>
              <w:top w:val="nil"/>
              <w:left w:val="single" w:sz="4" w:space="0" w:color="auto"/>
              <w:bottom w:val="single" w:sz="4" w:space="0" w:color="auto"/>
              <w:right w:val="single" w:sz="4" w:space="0" w:color="auto"/>
            </w:tcBorders>
            <w:shd w:val="clear" w:color="000000" w:fill="DCE6F1"/>
            <w:noWrap/>
            <w:vAlign w:val="center"/>
            <w:hideMark/>
          </w:tcPr>
          <w:p w14:paraId="0A7D3D8A" w14:textId="77777777" w:rsidR="003C535D" w:rsidRPr="003C535D" w:rsidRDefault="003C535D" w:rsidP="003C535D">
            <w:pPr>
              <w:spacing w:after="0" w:line="240" w:lineRule="auto"/>
              <w:rPr>
                <w:rFonts w:eastAsia="Times New Roman" w:cs="Calibri"/>
                <w:b/>
                <w:bCs/>
                <w:color w:val="000000"/>
                <w:lang w:eastAsia="es-CL"/>
              </w:rPr>
            </w:pPr>
            <w:proofErr w:type="gramStart"/>
            <w:r w:rsidRPr="003C535D">
              <w:rPr>
                <w:rFonts w:eastAsia="Times New Roman" w:cs="Calibri"/>
                <w:b/>
                <w:bCs/>
                <w:color w:val="000000"/>
                <w:lang w:eastAsia="es-CL"/>
              </w:rPr>
              <w:t>Total</w:t>
            </w:r>
            <w:proofErr w:type="gramEnd"/>
            <w:r w:rsidRPr="003C535D">
              <w:rPr>
                <w:rFonts w:eastAsia="Times New Roman" w:cs="Calibri"/>
                <w:b/>
                <w:bCs/>
                <w:color w:val="000000"/>
                <w:lang w:eastAsia="es-CL"/>
              </w:rPr>
              <w:t xml:space="preserve"> general</w:t>
            </w:r>
          </w:p>
        </w:tc>
        <w:tc>
          <w:tcPr>
            <w:tcW w:w="1701" w:type="dxa"/>
            <w:tcBorders>
              <w:top w:val="nil"/>
              <w:left w:val="nil"/>
              <w:bottom w:val="single" w:sz="4" w:space="0" w:color="auto"/>
              <w:right w:val="single" w:sz="4" w:space="0" w:color="auto"/>
            </w:tcBorders>
            <w:shd w:val="clear" w:color="000000" w:fill="DCE6F1"/>
            <w:noWrap/>
            <w:vAlign w:val="center"/>
            <w:hideMark/>
          </w:tcPr>
          <w:p w14:paraId="01AE80F2"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662.295.875</w:t>
            </w:r>
          </w:p>
        </w:tc>
        <w:tc>
          <w:tcPr>
            <w:tcW w:w="1559" w:type="dxa"/>
            <w:tcBorders>
              <w:top w:val="nil"/>
              <w:left w:val="nil"/>
              <w:bottom w:val="single" w:sz="4" w:space="0" w:color="auto"/>
              <w:right w:val="single" w:sz="4" w:space="0" w:color="auto"/>
            </w:tcBorders>
            <w:shd w:val="clear" w:color="000000" w:fill="DCE6F1"/>
            <w:noWrap/>
            <w:vAlign w:val="center"/>
            <w:hideMark/>
          </w:tcPr>
          <w:p w14:paraId="1E958507"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396.928.338</w:t>
            </w:r>
          </w:p>
        </w:tc>
        <w:tc>
          <w:tcPr>
            <w:tcW w:w="1745" w:type="dxa"/>
            <w:tcBorders>
              <w:top w:val="nil"/>
              <w:left w:val="nil"/>
              <w:bottom w:val="single" w:sz="4" w:space="0" w:color="auto"/>
              <w:right w:val="single" w:sz="4" w:space="0" w:color="auto"/>
            </w:tcBorders>
            <w:shd w:val="clear" w:color="000000" w:fill="DCE6F1"/>
            <w:noWrap/>
            <w:vAlign w:val="center"/>
            <w:hideMark/>
          </w:tcPr>
          <w:p w14:paraId="691D3176" w14:textId="77777777" w:rsidR="003C535D" w:rsidRPr="003C535D" w:rsidRDefault="003C535D" w:rsidP="003C535D">
            <w:pPr>
              <w:spacing w:after="0" w:line="240" w:lineRule="auto"/>
              <w:jc w:val="right"/>
              <w:rPr>
                <w:rFonts w:eastAsia="Times New Roman" w:cs="Calibri"/>
                <w:b/>
                <w:bCs/>
                <w:color w:val="000000"/>
                <w:lang w:eastAsia="es-CL"/>
              </w:rPr>
            </w:pPr>
            <w:r w:rsidRPr="003C535D">
              <w:rPr>
                <w:rFonts w:eastAsia="Times New Roman" w:cs="Calibri"/>
                <w:b/>
                <w:bCs/>
                <w:color w:val="000000"/>
                <w:lang w:eastAsia="es-CL"/>
              </w:rPr>
              <w:t>1.059.224.213</w:t>
            </w:r>
          </w:p>
        </w:tc>
      </w:tr>
      <w:tr w:rsidR="003C535D" w:rsidRPr="003C535D" w14:paraId="2EAE1CEE" w14:textId="77777777" w:rsidTr="003C535D">
        <w:trPr>
          <w:trHeight w:val="300"/>
        </w:trPr>
        <w:tc>
          <w:tcPr>
            <w:tcW w:w="8828" w:type="dxa"/>
            <w:gridSpan w:val="4"/>
            <w:tcBorders>
              <w:top w:val="single" w:sz="4" w:space="0" w:color="auto"/>
              <w:left w:val="nil"/>
              <w:bottom w:val="nil"/>
              <w:right w:val="nil"/>
            </w:tcBorders>
            <w:shd w:val="clear" w:color="auto" w:fill="auto"/>
            <w:noWrap/>
            <w:vAlign w:val="center"/>
            <w:hideMark/>
          </w:tcPr>
          <w:p w14:paraId="277E2DC1" w14:textId="77777777" w:rsidR="003C535D" w:rsidRPr="003C535D" w:rsidRDefault="003C535D" w:rsidP="003C535D">
            <w:pPr>
              <w:spacing w:after="0" w:line="240" w:lineRule="auto"/>
              <w:jc w:val="center"/>
              <w:rPr>
                <w:rFonts w:eastAsia="Times New Roman" w:cs="Calibri"/>
                <w:color w:val="000000"/>
                <w:sz w:val="16"/>
                <w:szCs w:val="16"/>
                <w:lang w:eastAsia="es-CL"/>
              </w:rPr>
            </w:pPr>
            <w:r w:rsidRPr="003C535D">
              <w:rPr>
                <w:rFonts w:eastAsia="Times New Roman" w:cs="Calibri"/>
                <w:color w:val="000000"/>
                <w:sz w:val="16"/>
                <w:szCs w:val="16"/>
                <w:lang w:eastAsia="es-CL"/>
              </w:rPr>
              <w:t>Fuente Información: Sistema Informático OPA MAPVT</w:t>
            </w:r>
          </w:p>
        </w:tc>
      </w:tr>
    </w:tbl>
    <w:p w14:paraId="264C23BA" w14:textId="77777777" w:rsidR="003C535D" w:rsidRDefault="003C535D" w:rsidP="0059317A">
      <w:pPr>
        <w:spacing w:line="240" w:lineRule="auto"/>
        <w:jc w:val="both"/>
        <w:rPr>
          <w:sz w:val="24"/>
          <w:szCs w:val="24"/>
        </w:rPr>
      </w:pPr>
    </w:p>
    <w:p w14:paraId="51B82E1E" w14:textId="0546CE46" w:rsidR="00A642A3" w:rsidRDefault="00041F01" w:rsidP="0059317A">
      <w:pPr>
        <w:spacing w:after="0" w:line="240" w:lineRule="auto"/>
        <w:jc w:val="both"/>
        <w:rPr>
          <w:sz w:val="24"/>
          <w:szCs w:val="24"/>
        </w:rPr>
      </w:pPr>
      <w:proofErr w:type="gramStart"/>
      <w:r>
        <w:rPr>
          <w:sz w:val="24"/>
          <w:szCs w:val="24"/>
        </w:rPr>
        <w:lastRenderedPageBreak/>
        <w:t>De acuerdo a</w:t>
      </w:r>
      <w:proofErr w:type="gramEnd"/>
      <w:r>
        <w:rPr>
          <w:sz w:val="24"/>
          <w:szCs w:val="24"/>
        </w:rPr>
        <w:t xml:space="preserve"> los distintos modelos de atención</w:t>
      </w:r>
      <w:r w:rsidR="00E96C6C">
        <w:rPr>
          <w:sz w:val="24"/>
          <w:szCs w:val="24"/>
        </w:rPr>
        <w:t>,</w:t>
      </w:r>
      <w:r>
        <w:rPr>
          <w:sz w:val="24"/>
          <w:szCs w:val="24"/>
        </w:rPr>
        <w:t xml:space="preserve"> en la siguiente tabla se presenta la ejecución presupuestaria para el periodo comprendido entre el </w:t>
      </w:r>
      <w:r w:rsidR="003C535D">
        <w:rPr>
          <w:sz w:val="24"/>
          <w:szCs w:val="24"/>
        </w:rPr>
        <w:t>01 de julio al 30 de septiembre</w:t>
      </w:r>
      <w:r w:rsidR="00003B16">
        <w:rPr>
          <w:sz w:val="24"/>
          <w:szCs w:val="24"/>
        </w:rPr>
        <w:t xml:space="preserve"> de 2024</w:t>
      </w:r>
      <w:r>
        <w:rPr>
          <w:sz w:val="24"/>
          <w:szCs w:val="24"/>
        </w:rPr>
        <w:t>.</w:t>
      </w:r>
    </w:p>
    <w:p w14:paraId="21CE19AE" w14:textId="77777777" w:rsidR="00B21DD0" w:rsidRDefault="00B21DD0" w:rsidP="0059317A">
      <w:pPr>
        <w:spacing w:after="0" w:line="240" w:lineRule="auto"/>
        <w:jc w:val="both"/>
        <w:rPr>
          <w:sz w:val="24"/>
          <w:szCs w:val="24"/>
        </w:rPr>
      </w:pPr>
    </w:p>
    <w:p w14:paraId="60A9A3A3" w14:textId="2A1B73B7" w:rsidR="00003B16" w:rsidRDefault="00A642A3" w:rsidP="0059317A">
      <w:pPr>
        <w:spacing w:line="240" w:lineRule="auto"/>
        <w:jc w:val="both"/>
        <w:rPr>
          <w:sz w:val="24"/>
          <w:szCs w:val="24"/>
        </w:rPr>
      </w:pPr>
      <w:r w:rsidRPr="0059317A">
        <w:rPr>
          <w:b/>
          <w:sz w:val="24"/>
          <w:szCs w:val="24"/>
        </w:rPr>
        <w:t xml:space="preserve">Tabla </w:t>
      </w:r>
      <w:proofErr w:type="spellStart"/>
      <w:r w:rsidR="00616597" w:rsidRPr="0059317A">
        <w:rPr>
          <w:b/>
          <w:sz w:val="24"/>
          <w:szCs w:val="24"/>
        </w:rPr>
        <w:t>N</w:t>
      </w:r>
      <w:r w:rsidR="00616597">
        <w:rPr>
          <w:b/>
          <w:sz w:val="24"/>
          <w:szCs w:val="24"/>
        </w:rPr>
        <w:t>°</w:t>
      </w:r>
      <w:proofErr w:type="spellEnd"/>
      <w:r w:rsidR="00616597">
        <w:rPr>
          <w:b/>
          <w:sz w:val="24"/>
          <w:szCs w:val="24"/>
        </w:rPr>
        <w:t xml:space="preserve"> </w:t>
      </w:r>
      <w:r w:rsidRPr="0059317A">
        <w:rPr>
          <w:b/>
          <w:sz w:val="24"/>
          <w:szCs w:val="24"/>
        </w:rPr>
        <w:t>3</w:t>
      </w:r>
      <w:r w:rsidR="00023196" w:rsidRPr="0059317A">
        <w:rPr>
          <w:b/>
          <w:sz w:val="24"/>
          <w:szCs w:val="24"/>
        </w:rPr>
        <w:t>:</w:t>
      </w:r>
      <w:r w:rsidR="00023196">
        <w:rPr>
          <w:sz w:val="24"/>
          <w:szCs w:val="24"/>
        </w:rPr>
        <w:t xml:space="preserve"> </w:t>
      </w:r>
      <w:r w:rsidR="00041F01">
        <w:rPr>
          <w:sz w:val="24"/>
          <w:szCs w:val="24"/>
        </w:rPr>
        <w:t>Eje</w:t>
      </w:r>
      <w:r w:rsidR="00E21244">
        <w:rPr>
          <w:sz w:val="24"/>
          <w:szCs w:val="24"/>
        </w:rPr>
        <w:t xml:space="preserve">cución presupuestaria del </w:t>
      </w:r>
      <w:r w:rsidR="003C535D">
        <w:rPr>
          <w:sz w:val="24"/>
          <w:szCs w:val="24"/>
        </w:rPr>
        <w:t>tercer trimestre</w:t>
      </w:r>
      <w:r w:rsidR="00275523">
        <w:rPr>
          <w:sz w:val="24"/>
          <w:szCs w:val="24"/>
        </w:rPr>
        <w:t xml:space="preserve"> </w:t>
      </w:r>
      <w:r w:rsidR="00663DDE">
        <w:rPr>
          <w:sz w:val="24"/>
          <w:szCs w:val="24"/>
        </w:rPr>
        <w:t xml:space="preserve">de </w:t>
      </w:r>
      <w:r w:rsidR="00144043">
        <w:rPr>
          <w:sz w:val="24"/>
          <w:szCs w:val="24"/>
        </w:rPr>
        <w:t>2024</w:t>
      </w:r>
      <w:r w:rsidR="00041F01">
        <w:rPr>
          <w:sz w:val="24"/>
          <w:szCs w:val="24"/>
        </w:rPr>
        <w:t xml:space="preserve"> según modelos de atención.</w:t>
      </w:r>
    </w:p>
    <w:tbl>
      <w:tblPr>
        <w:tblW w:w="8784" w:type="dxa"/>
        <w:tblCellMar>
          <w:left w:w="70" w:type="dxa"/>
          <w:right w:w="70" w:type="dxa"/>
        </w:tblCellMar>
        <w:tblLook w:val="04A0" w:firstRow="1" w:lastRow="0" w:firstColumn="1" w:lastColumn="0" w:noHBand="0" w:noVBand="1"/>
      </w:tblPr>
      <w:tblGrid>
        <w:gridCol w:w="3088"/>
        <w:gridCol w:w="2344"/>
        <w:gridCol w:w="2199"/>
        <w:gridCol w:w="1153"/>
      </w:tblGrid>
      <w:tr w:rsidR="008D5D34" w:rsidRPr="008D5D34" w14:paraId="59260DD0" w14:textId="77777777" w:rsidTr="008D5D34">
        <w:trPr>
          <w:trHeight w:val="303"/>
        </w:trPr>
        <w:tc>
          <w:tcPr>
            <w:tcW w:w="3088"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B0D34C9" w14:textId="77777777" w:rsidR="008D5D34" w:rsidRPr="008D5D34" w:rsidRDefault="008D5D34" w:rsidP="008D5D34">
            <w:pPr>
              <w:spacing w:after="0" w:line="240" w:lineRule="auto"/>
              <w:rPr>
                <w:rFonts w:eastAsia="Times New Roman" w:cs="Calibri"/>
                <w:b/>
                <w:bCs/>
                <w:color w:val="000000"/>
                <w:lang w:eastAsia="es-CL"/>
              </w:rPr>
            </w:pPr>
            <w:r w:rsidRPr="008D5D34">
              <w:rPr>
                <w:rFonts w:eastAsia="Times New Roman" w:cs="Calibri"/>
                <w:b/>
                <w:bCs/>
                <w:color w:val="000000"/>
                <w:lang w:eastAsia="es-CL"/>
              </w:rPr>
              <w:t>Clasificación</w:t>
            </w:r>
          </w:p>
        </w:tc>
        <w:tc>
          <w:tcPr>
            <w:tcW w:w="2344" w:type="dxa"/>
            <w:tcBorders>
              <w:top w:val="single" w:sz="4" w:space="0" w:color="auto"/>
              <w:left w:val="nil"/>
              <w:bottom w:val="single" w:sz="4" w:space="0" w:color="auto"/>
              <w:right w:val="single" w:sz="4" w:space="0" w:color="auto"/>
            </w:tcBorders>
            <w:shd w:val="clear" w:color="000000" w:fill="DCE6F1"/>
            <w:noWrap/>
            <w:vAlign w:val="center"/>
            <w:hideMark/>
          </w:tcPr>
          <w:p w14:paraId="34AEBA18" w14:textId="77777777" w:rsidR="008D5D34" w:rsidRPr="008D5D34" w:rsidRDefault="008D5D34" w:rsidP="008D5D34">
            <w:pPr>
              <w:spacing w:after="0" w:line="240" w:lineRule="auto"/>
              <w:jc w:val="center"/>
              <w:rPr>
                <w:rFonts w:eastAsia="Times New Roman" w:cs="Calibri"/>
                <w:b/>
                <w:bCs/>
                <w:color w:val="000000"/>
                <w:lang w:eastAsia="es-CL"/>
              </w:rPr>
            </w:pPr>
            <w:proofErr w:type="spellStart"/>
            <w:r w:rsidRPr="008D5D34">
              <w:rPr>
                <w:rFonts w:eastAsia="Times New Roman" w:cs="Calibri"/>
                <w:b/>
                <w:bCs/>
                <w:color w:val="000000"/>
                <w:lang w:eastAsia="es-CL"/>
              </w:rPr>
              <w:t>N°</w:t>
            </w:r>
            <w:proofErr w:type="spellEnd"/>
            <w:r w:rsidRPr="008D5D34">
              <w:rPr>
                <w:rFonts w:eastAsia="Times New Roman" w:cs="Calibri"/>
                <w:b/>
                <w:bCs/>
                <w:color w:val="000000"/>
                <w:lang w:eastAsia="es-CL"/>
              </w:rPr>
              <w:t xml:space="preserve"> de Prestaciones</w:t>
            </w:r>
          </w:p>
        </w:tc>
        <w:tc>
          <w:tcPr>
            <w:tcW w:w="2199" w:type="dxa"/>
            <w:tcBorders>
              <w:top w:val="single" w:sz="4" w:space="0" w:color="auto"/>
              <w:left w:val="nil"/>
              <w:bottom w:val="single" w:sz="4" w:space="0" w:color="auto"/>
              <w:right w:val="single" w:sz="4" w:space="0" w:color="auto"/>
            </w:tcBorders>
            <w:shd w:val="clear" w:color="000000" w:fill="DCE6F1"/>
            <w:noWrap/>
            <w:vAlign w:val="center"/>
            <w:hideMark/>
          </w:tcPr>
          <w:p w14:paraId="2E25F19A" w14:textId="77777777" w:rsidR="008D5D34" w:rsidRPr="008D5D34" w:rsidRDefault="008D5D34" w:rsidP="008D5D34">
            <w:pPr>
              <w:spacing w:after="0" w:line="240" w:lineRule="auto"/>
              <w:jc w:val="center"/>
              <w:rPr>
                <w:rFonts w:eastAsia="Times New Roman" w:cs="Calibri"/>
                <w:b/>
                <w:bCs/>
                <w:color w:val="000000"/>
                <w:lang w:eastAsia="es-CL"/>
              </w:rPr>
            </w:pPr>
            <w:r w:rsidRPr="008D5D34">
              <w:rPr>
                <w:rFonts w:eastAsia="Times New Roman" w:cs="Calibri"/>
                <w:b/>
                <w:bCs/>
                <w:color w:val="000000"/>
                <w:lang w:eastAsia="es-CL"/>
              </w:rPr>
              <w:t>Monto ($)</w:t>
            </w:r>
          </w:p>
        </w:tc>
        <w:tc>
          <w:tcPr>
            <w:tcW w:w="1153" w:type="dxa"/>
            <w:tcBorders>
              <w:top w:val="single" w:sz="4" w:space="0" w:color="auto"/>
              <w:left w:val="nil"/>
              <w:bottom w:val="single" w:sz="4" w:space="0" w:color="auto"/>
              <w:right w:val="single" w:sz="4" w:space="0" w:color="auto"/>
            </w:tcBorders>
            <w:shd w:val="clear" w:color="000000" w:fill="DCE6F1"/>
            <w:noWrap/>
            <w:vAlign w:val="center"/>
            <w:hideMark/>
          </w:tcPr>
          <w:p w14:paraId="00B27458" w14:textId="77777777" w:rsidR="008D5D34" w:rsidRPr="008D5D34" w:rsidRDefault="008D5D34" w:rsidP="008D5D34">
            <w:pPr>
              <w:spacing w:after="0" w:line="240" w:lineRule="auto"/>
              <w:jc w:val="center"/>
              <w:rPr>
                <w:rFonts w:eastAsia="Times New Roman" w:cs="Calibri"/>
                <w:b/>
                <w:bCs/>
                <w:color w:val="000000"/>
                <w:lang w:eastAsia="es-CL"/>
              </w:rPr>
            </w:pPr>
            <w:r w:rsidRPr="008D5D34">
              <w:rPr>
                <w:rFonts w:eastAsia="Times New Roman" w:cs="Calibri"/>
                <w:b/>
                <w:bCs/>
                <w:color w:val="000000"/>
                <w:lang w:eastAsia="es-CL"/>
              </w:rPr>
              <w:t>%</w:t>
            </w:r>
          </w:p>
        </w:tc>
      </w:tr>
      <w:tr w:rsidR="008D5D34" w:rsidRPr="008D5D34" w14:paraId="5714B79D"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23ECC719"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VIF</w:t>
            </w:r>
          </w:p>
        </w:tc>
        <w:tc>
          <w:tcPr>
            <w:tcW w:w="2344" w:type="dxa"/>
            <w:tcBorders>
              <w:top w:val="nil"/>
              <w:left w:val="nil"/>
              <w:bottom w:val="single" w:sz="4" w:space="0" w:color="auto"/>
              <w:right w:val="single" w:sz="4" w:space="0" w:color="auto"/>
            </w:tcBorders>
            <w:shd w:val="clear" w:color="auto" w:fill="auto"/>
            <w:noWrap/>
            <w:vAlign w:val="center"/>
            <w:hideMark/>
          </w:tcPr>
          <w:p w14:paraId="4D9EC38D"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12.327</w:t>
            </w:r>
          </w:p>
        </w:tc>
        <w:tc>
          <w:tcPr>
            <w:tcW w:w="2199" w:type="dxa"/>
            <w:tcBorders>
              <w:top w:val="nil"/>
              <w:left w:val="nil"/>
              <w:bottom w:val="single" w:sz="4" w:space="0" w:color="auto"/>
              <w:right w:val="single" w:sz="4" w:space="0" w:color="auto"/>
            </w:tcBorders>
            <w:shd w:val="clear" w:color="auto" w:fill="auto"/>
            <w:noWrap/>
            <w:vAlign w:val="center"/>
            <w:hideMark/>
          </w:tcPr>
          <w:p w14:paraId="5EC0DE46"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277.025.052</w:t>
            </w:r>
          </w:p>
        </w:tc>
        <w:tc>
          <w:tcPr>
            <w:tcW w:w="1153" w:type="dxa"/>
            <w:tcBorders>
              <w:top w:val="nil"/>
              <w:left w:val="nil"/>
              <w:bottom w:val="single" w:sz="4" w:space="0" w:color="auto"/>
              <w:right w:val="single" w:sz="4" w:space="0" w:color="auto"/>
            </w:tcBorders>
            <w:shd w:val="clear" w:color="auto" w:fill="auto"/>
            <w:noWrap/>
            <w:vAlign w:val="center"/>
            <w:hideMark/>
          </w:tcPr>
          <w:p w14:paraId="281C0C68"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26,2%</w:t>
            </w:r>
          </w:p>
        </w:tc>
      </w:tr>
      <w:tr w:rsidR="008D5D34" w:rsidRPr="008D5D34" w14:paraId="038F7330"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50D4E6F6"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Declaración y Denuncia Directa</w:t>
            </w:r>
          </w:p>
        </w:tc>
        <w:tc>
          <w:tcPr>
            <w:tcW w:w="2344" w:type="dxa"/>
            <w:tcBorders>
              <w:top w:val="nil"/>
              <w:left w:val="nil"/>
              <w:bottom w:val="single" w:sz="4" w:space="0" w:color="auto"/>
              <w:right w:val="single" w:sz="4" w:space="0" w:color="auto"/>
            </w:tcBorders>
            <w:shd w:val="clear" w:color="auto" w:fill="auto"/>
            <w:noWrap/>
            <w:vAlign w:val="center"/>
            <w:hideMark/>
          </w:tcPr>
          <w:p w14:paraId="12AD5EE9"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1.800</w:t>
            </w:r>
          </w:p>
        </w:tc>
        <w:tc>
          <w:tcPr>
            <w:tcW w:w="2199" w:type="dxa"/>
            <w:tcBorders>
              <w:top w:val="nil"/>
              <w:left w:val="nil"/>
              <w:bottom w:val="single" w:sz="4" w:space="0" w:color="auto"/>
              <w:right w:val="single" w:sz="4" w:space="0" w:color="auto"/>
            </w:tcBorders>
            <w:shd w:val="clear" w:color="auto" w:fill="auto"/>
            <w:noWrap/>
            <w:vAlign w:val="center"/>
            <w:hideMark/>
          </w:tcPr>
          <w:p w14:paraId="201EC792"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75.884.067</w:t>
            </w:r>
          </w:p>
        </w:tc>
        <w:tc>
          <w:tcPr>
            <w:tcW w:w="1153" w:type="dxa"/>
            <w:tcBorders>
              <w:top w:val="nil"/>
              <w:left w:val="nil"/>
              <w:bottom w:val="single" w:sz="4" w:space="0" w:color="auto"/>
              <w:right w:val="single" w:sz="4" w:space="0" w:color="auto"/>
            </w:tcBorders>
            <w:shd w:val="clear" w:color="auto" w:fill="auto"/>
            <w:noWrap/>
            <w:vAlign w:val="center"/>
            <w:hideMark/>
          </w:tcPr>
          <w:p w14:paraId="57DAE4FC"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7,2%</w:t>
            </w:r>
          </w:p>
        </w:tc>
      </w:tr>
      <w:tr w:rsidR="008D5D34" w:rsidRPr="008D5D34" w14:paraId="7E4CE768"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3142B189"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NNA</w:t>
            </w:r>
          </w:p>
        </w:tc>
        <w:tc>
          <w:tcPr>
            <w:tcW w:w="2344" w:type="dxa"/>
            <w:tcBorders>
              <w:top w:val="nil"/>
              <w:left w:val="nil"/>
              <w:bottom w:val="single" w:sz="4" w:space="0" w:color="auto"/>
              <w:right w:val="single" w:sz="4" w:space="0" w:color="auto"/>
            </w:tcBorders>
            <w:shd w:val="clear" w:color="auto" w:fill="auto"/>
            <w:noWrap/>
            <w:vAlign w:val="center"/>
            <w:hideMark/>
          </w:tcPr>
          <w:p w14:paraId="66A197FA"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3.059</w:t>
            </w:r>
          </w:p>
        </w:tc>
        <w:tc>
          <w:tcPr>
            <w:tcW w:w="2199" w:type="dxa"/>
            <w:tcBorders>
              <w:top w:val="nil"/>
              <w:left w:val="nil"/>
              <w:bottom w:val="single" w:sz="4" w:space="0" w:color="auto"/>
              <w:right w:val="single" w:sz="4" w:space="0" w:color="auto"/>
            </w:tcBorders>
            <w:shd w:val="clear" w:color="auto" w:fill="auto"/>
            <w:noWrap/>
            <w:vAlign w:val="center"/>
            <w:hideMark/>
          </w:tcPr>
          <w:p w14:paraId="60504F66"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114.220.361</w:t>
            </w:r>
          </w:p>
        </w:tc>
        <w:tc>
          <w:tcPr>
            <w:tcW w:w="1153" w:type="dxa"/>
            <w:tcBorders>
              <w:top w:val="nil"/>
              <w:left w:val="nil"/>
              <w:bottom w:val="single" w:sz="4" w:space="0" w:color="auto"/>
              <w:right w:val="single" w:sz="4" w:space="0" w:color="auto"/>
            </w:tcBorders>
            <w:shd w:val="clear" w:color="auto" w:fill="auto"/>
            <w:noWrap/>
            <w:vAlign w:val="center"/>
            <w:hideMark/>
          </w:tcPr>
          <w:p w14:paraId="0402E662"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10,8%</w:t>
            </w:r>
          </w:p>
        </w:tc>
      </w:tr>
      <w:tr w:rsidR="008D5D34" w:rsidRPr="008D5D34" w14:paraId="42FE6DCB"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67568E9E"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Otros Juicio Oral</w:t>
            </w:r>
          </w:p>
        </w:tc>
        <w:tc>
          <w:tcPr>
            <w:tcW w:w="2344" w:type="dxa"/>
            <w:tcBorders>
              <w:top w:val="nil"/>
              <w:left w:val="nil"/>
              <w:bottom w:val="single" w:sz="4" w:space="0" w:color="auto"/>
              <w:right w:val="single" w:sz="4" w:space="0" w:color="auto"/>
            </w:tcBorders>
            <w:shd w:val="clear" w:color="auto" w:fill="auto"/>
            <w:noWrap/>
            <w:vAlign w:val="center"/>
            <w:hideMark/>
          </w:tcPr>
          <w:p w14:paraId="7EAA3DC1"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6.691</w:t>
            </w:r>
          </w:p>
        </w:tc>
        <w:tc>
          <w:tcPr>
            <w:tcW w:w="2199" w:type="dxa"/>
            <w:tcBorders>
              <w:top w:val="nil"/>
              <w:left w:val="nil"/>
              <w:bottom w:val="single" w:sz="4" w:space="0" w:color="auto"/>
              <w:right w:val="single" w:sz="4" w:space="0" w:color="auto"/>
            </w:tcBorders>
            <w:shd w:val="clear" w:color="auto" w:fill="auto"/>
            <w:noWrap/>
            <w:vAlign w:val="center"/>
            <w:hideMark/>
          </w:tcPr>
          <w:p w14:paraId="641006B4"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171.260.221</w:t>
            </w:r>
          </w:p>
        </w:tc>
        <w:tc>
          <w:tcPr>
            <w:tcW w:w="1153" w:type="dxa"/>
            <w:tcBorders>
              <w:top w:val="nil"/>
              <w:left w:val="nil"/>
              <w:bottom w:val="single" w:sz="4" w:space="0" w:color="auto"/>
              <w:right w:val="single" w:sz="4" w:space="0" w:color="auto"/>
            </w:tcBorders>
            <w:shd w:val="clear" w:color="auto" w:fill="auto"/>
            <w:noWrap/>
            <w:vAlign w:val="center"/>
            <w:hideMark/>
          </w:tcPr>
          <w:p w14:paraId="55DE0F51"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16,2%</w:t>
            </w:r>
          </w:p>
        </w:tc>
      </w:tr>
      <w:tr w:rsidR="008D5D34" w:rsidRPr="008D5D34" w14:paraId="7A65340B"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35C6D6A5"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Otros Derivados URAVIT</w:t>
            </w:r>
          </w:p>
        </w:tc>
        <w:tc>
          <w:tcPr>
            <w:tcW w:w="2344" w:type="dxa"/>
            <w:tcBorders>
              <w:top w:val="nil"/>
              <w:left w:val="nil"/>
              <w:bottom w:val="single" w:sz="4" w:space="0" w:color="auto"/>
              <w:right w:val="single" w:sz="4" w:space="0" w:color="auto"/>
            </w:tcBorders>
            <w:shd w:val="clear" w:color="auto" w:fill="auto"/>
            <w:noWrap/>
            <w:vAlign w:val="center"/>
            <w:hideMark/>
          </w:tcPr>
          <w:p w14:paraId="28253FE0"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5.031</w:t>
            </w:r>
          </w:p>
        </w:tc>
        <w:tc>
          <w:tcPr>
            <w:tcW w:w="2199" w:type="dxa"/>
            <w:tcBorders>
              <w:top w:val="nil"/>
              <w:left w:val="nil"/>
              <w:bottom w:val="single" w:sz="4" w:space="0" w:color="auto"/>
              <w:right w:val="single" w:sz="4" w:space="0" w:color="auto"/>
            </w:tcBorders>
            <w:shd w:val="clear" w:color="auto" w:fill="auto"/>
            <w:noWrap/>
            <w:vAlign w:val="center"/>
            <w:hideMark/>
          </w:tcPr>
          <w:p w14:paraId="3810363D"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277.707.570</w:t>
            </w:r>
          </w:p>
        </w:tc>
        <w:tc>
          <w:tcPr>
            <w:tcW w:w="1153" w:type="dxa"/>
            <w:tcBorders>
              <w:top w:val="nil"/>
              <w:left w:val="nil"/>
              <w:bottom w:val="single" w:sz="4" w:space="0" w:color="auto"/>
              <w:right w:val="single" w:sz="4" w:space="0" w:color="auto"/>
            </w:tcBorders>
            <w:shd w:val="clear" w:color="auto" w:fill="auto"/>
            <w:noWrap/>
            <w:vAlign w:val="center"/>
            <w:hideMark/>
          </w:tcPr>
          <w:p w14:paraId="60FD8F09"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26,2%</w:t>
            </w:r>
          </w:p>
        </w:tc>
      </w:tr>
      <w:tr w:rsidR="008D5D34" w:rsidRPr="008D5D34" w14:paraId="12516987"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178A79CB"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Otros</w:t>
            </w:r>
          </w:p>
        </w:tc>
        <w:tc>
          <w:tcPr>
            <w:tcW w:w="2344" w:type="dxa"/>
            <w:tcBorders>
              <w:top w:val="nil"/>
              <w:left w:val="nil"/>
              <w:bottom w:val="single" w:sz="4" w:space="0" w:color="auto"/>
              <w:right w:val="single" w:sz="4" w:space="0" w:color="auto"/>
            </w:tcBorders>
            <w:shd w:val="clear" w:color="auto" w:fill="auto"/>
            <w:noWrap/>
            <w:vAlign w:val="center"/>
            <w:hideMark/>
          </w:tcPr>
          <w:p w14:paraId="366F1486"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2.961</w:t>
            </w:r>
          </w:p>
        </w:tc>
        <w:tc>
          <w:tcPr>
            <w:tcW w:w="2199" w:type="dxa"/>
            <w:tcBorders>
              <w:top w:val="nil"/>
              <w:left w:val="nil"/>
              <w:bottom w:val="single" w:sz="4" w:space="0" w:color="auto"/>
              <w:right w:val="single" w:sz="4" w:space="0" w:color="auto"/>
            </w:tcBorders>
            <w:shd w:val="clear" w:color="auto" w:fill="auto"/>
            <w:noWrap/>
            <w:vAlign w:val="center"/>
            <w:hideMark/>
          </w:tcPr>
          <w:p w14:paraId="5E731FDC"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121.408.463</w:t>
            </w:r>
          </w:p>
        </w:tc>
        <w:tc>
          <w:tcPr>
            <w:tcW w:w="1153" w:type="dxa"/>
            <w:tcBorders>
              <w:top w:val="nil"/>
              <w:left w:val="nil"/>
              <w:bottom w:val="single" w:sz="4" w:space="0" w:color="auto"/>
              <w:right w:val="single" w:sz="4" w:space="0" w:color="auto"/>
            </w:tcBorders>
            <w:shd w:val="clear" w:color="auto" w:fill="auto"/>
            <w:noWrap/>
            <w:vAlign w:val="center"/>
            <w:hideMark/>
          </w:tcPr>
          <w:p w14:paraId="019A2A32"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11,5%</w:t>
            </w:r>
          </w:p>
        </w:tc>
      </w:tr>
      <w:tr w:rsidR="008D5D34" w:rsidRPr="008D5D34" w14:paraId="365A0DA5"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F2F2F2"/>
            <w:noWrap/>
            <w:vAlign w:val="center"/>
            <w:hideMark/>
          </w:tcPr>
          <w:p w14:paraId="584A1DB5" w14:textId="77777777" w:rsidR="008D5D34" w:rsidRPr="008D5D34" w:rsidRDefault="008D5D34" w:rsidP="008D5D34">
            <w:pPr>
              <w:spacing w:after="0" w:line="240" w:lineRule="auto"/>
              <w:rPr>
                <w:rFonts w:eastAsia="Times New Roman" w:cs="Calibri"/>
                <w:color w:val="000000"/>
                <w:lang w:eastAsia="es-CL"/>
              </w:rPr>
            </w:pPr>
            <w:r w:rsidRPr="008D5D34">
              <w:rPr>
                <w:rFonts w:eastAsia="Times New Roman" w:cs="Calibri"/>
                <w:color w:val="000000"/>
                <w:lang w:eastAsia="es-CL"/>
              </w:rPr>
              <w:t>Compra Centralizada</w:t>
            </w:r>
          </w:p>
        </w:tc>
        <w:tc>
          <w:tcPr>
            <w:tcW w:w="2344" w:type="dxa"/>
            <w:tcBorders>
              <w:top w:val="nil"/>
              <w:left w:val="nil"/>
              <w:bottom w:val="single" w:sz="4" w:space="0" w:color="auto"/>
              <w:right w:val="single" w:sz="4" w:space="0" w:color="auto"/>
            </w:tcBorders>
            <w:shd w:val="clear" w:color="auto" w:fill="auto"/>
            <w:noWrap/>
            <w:vAlign w:val="center"/>
            <w:hideMark/>
          </w:tcPr>
          <w:p w14:paraId="2E62A0E7"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120</w:t>
            </w:r>
          </w:p>
        </w:tc>
        <w:tc>
          <w:tcPr>
            <w:tcW w:w="2199" w:type="dxa"/>
            <w:tcBorders>
              <w:top w:val="nil"/>
              <w:left w:val="nil"/>
              <w:bottom w:val="single" w:sz="4" w:space="0" w:color="auto"/>
              <w:right w:val="single" w:sz="4" w:space="0" w:color="auto"/>
            </w:tcBorders>
            <w:shd w:val="clear" w:color="auto" w:fill="auto"/>
            <w:noWrap/>
            <w:vAlign w:val="center"/>
            <w:hideMark/>
          </w:tcPr>
          <w:p w14:paraId="18C38E8B"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21.718.479</w:t>
            </w:r>
          </w:p>
        </w:tc>
        <w:tc>
          <w:tcPr>
            <w:tcW w:w="1153" w:type="dxa"/>
            <w:tcBorders>
              <w:top w:val="nil"/>
              <w:left w:val="nil"/>
              <w:bottom w:val="single" w:sz="4" w:space="0" w:color="auto"/>
              <w:right w:val="single" w:sz="4" w:space="0" w:color="auto"/>
            </w:tcBorders>
            <w:shd w:val="clear" w:color="auto" w:fill="auto"/>
            <w:noWrap/>
            <w:vAlign w:val="center"/>
            <w:hideMark/>
          </w:tcPr>
          <w:p w14:paraId="21402F0F" w14:textId="77777777" w:rsidR="008D5D34" w:rsidRPr="008D5D34" w:rsidRDefault="008D5D34" w:rsidP="008D5D34">
            <w:pPr>
              <w:spacing w:after="0" w:line="240" w:lineRule="auto"/>
              <w:jc w:val="right"/>
              <w:rPr>
                <w:rFonts w:eastAsia="Times New Roman" w:cs="Calibri"/>
                <w:color w:val="000000"/>
                <w:lang w:eastAsia="es-CL"/>
              </w:rPr>
            </w:pPr>
            <w:r w:rsidRPr="008D5D34">
              <w:rPr>
                <w:rFonts w:eastAsia="Times New Roman" w:cs="Calibri"/>
                <w:color w:val="000000"/>
                <w:lang w:eastAsia="es-CL"/>
              </w:rPr>
              <w:t>2,1%</w:t>
            </w:r>
          </w:p>
        </w:tc>
      </w:tr>
      <w:tr w:rsidR="008D5D34" w:rsidRPr="008D5D34" w14:paraId="204868C8" w14:textId="77777777" w:rsidTr="008D5D34">
        <w:trPr>
          <w:trHeight w:val="303"/>
        </w:trPr>
        <w:tc>
          <w:tcPr>
            <w:tcW w:w="3088" w:type="dxa"/>
            <w:tcBorders>
              <w:top w:val="nil"/>
              <w:left w:val="single" w:sz="4" w:space="0" w:color="auto"/>
              <w:bottom w:val="single" w:sz="4" w:space="0" w:color="auto"/>
              <w:right w:val="single" w:sz="4" w:space="0" w:color="auto"/>
            </w:tcBorders>
            <w:shd w:val="clear" w:color="000000" w:fill="DCE6F1"/>
            <w:noWrap/>
            <w:vAlign w:val="center"/>
            <w:hideMark/>
          </w:tcPr>
          <w:p w14:paraId="37CA3973" w14:textId="77777777" w:rsidR="008D5D34" w:rsidRPr="008D5D34" w:rsidRDefault="008D5D34" w:rsidP="008D5D34">
            <w:pPr>
              <w:spacing w:after="0" w:line="240" w:lineRule="auto"/>
              <w:rPr>
                <w:rFonts w:eastAsia="Times New Roman" w:cs="Calibri"/>
                <w:b/>
                <w:bCs/>
                <w:color w:val="000000"/>
                <w:lang w:eastAsia="es-CL"/>
              </w:rPr>
            </w:pPr>
            <w:proofErr w:type="gramStart"/>
            <w:r w:rsidRPr="008D5D34">
              <w:rPr>
                <w:rFonts w:eastAsia="Times New Roman" w:cs="Calibri"/>
                <w:b/>
                <w:bCs/>
                <w:color w:val="000000"/>
                <w:lang w:eastAsia="es-CL"/>
              </w:rPr>
              <w:t>Total</w:t>
            </w:r>
            <w:proofErr w:type="gramEnd"/>
            <w:r w:rsidRPr="008D5D34">
              <w:rPr>
                <w:rFonts w:eastAsia="Times New Roman" w:cs="Calibri"/>
                <w:b/>
                <w:bCs/>
                <w:color w:val="000000"/>
                <w:lang w:eastAsia="es-CL"/>
              </w:rPr>
              <w:t xml:space="preserve"> general</w:t>
            </w:r>
          </w:p>
        </w:tc>
        <w:tc>
          <w:tcPr>
            <w:tcW w:w="2344" w:type="dxa"/>
            <w:tcBorders>
              <w:top w:val="nil"/>
              <w:left w:val="nil"/>
              <w:bottom w:val="single" w:sz="4" w:space="0" w:color="auto"/>
              <w:right w:val="single" w:sz="4" w:space="0" w:color="auto"/>
            </w:tcBorders>
            <w:shd w:val="clear" w:color="000000" w:fill="DCE6F1"/>
            <w:noWrap/>
            <w:vAlign w:val="center"/>
            <w:hideMark/>
          </w:tcPr>
          <w:p w14:paraId="640AC7B1" w14:textId="77777777" w:rsidR="008D5D34" w:rsidRPr="008D5D34" w:rsidRDefault="008D5D34" w:rsidP="008D5D34">
            <w:pPr>
              <w:spacing w:after="0" w:line="240" w:lineRule="auto"/>
              <w:jc w:val="right"/>
              <w:rPr>
                <w:rFonts w:eastAsia="Times New Roman" w:cs="Calibri"/>
                <w:b/>
                <w:bCs/>
                <w:color w:val="000000"/>
                <w:lang w:eastAsia="es-CL"/>
              </w:rPr>
            </w:pPr>
            <w:r w:rsidRPr="008D5D34">
              <w:rPr>
                <w:rFonts w:eastAsia="Times New Roman" w:cs="Calibri"/>
                <w:b/>
                <w:bCs/>
                <w:color w:val="000000"/>
                <w:lang w:eastAsia="es-CL"/>
              </w:rPr>
              <w:t>31.989</w:t>
            </w:r>
          </w:p>
        </w:tc>
        <w:tc>
          <w:tcPr>
            <w:tcW w:w="2199" w:type="dxa"/>
            <w:tcBorders>
              <w:top w:val="nil"/>
              <w:left w:val="nil"/>
              <w:bottom w:val="single" w:sz="4" w:space="0" w:color="auto"/>
              <w:right w:val="single" w:sz="4" w:space="0" w:color="auto"/>
            </w:tcBorders>
            <w:shd w:val="clear" w:color="000000" w:fill="DCE6F1"/>
            <w:noWrap/>
            <w:vAlign w:val="center"/>
            <w:hideMark/>
          </w:tcPr>
          <w:p w14:paraId="0C9BC61E" w14:textId="77777777" w:rsidR="008D5D34" w:rsidRPr="008D5D34" w:rsidRDefault="008D5D34" w:rsidP="008D5D34">
            <w:pPr>
              <w:spacing w:after="0" w:line="240" w:lineRule="auto"/>
              <w:jc w:val="right"/>
              <w:rPr>
                <w:rFonts w:eastAsia="Times New Roman" w:cs="Calibri"/>
                <w:b/>
                <w:bCs/>
                <w:color w:val="000000"/>
                <w:lang w:eastAsia="es-CL"/>
              </w:rPr>
            </w:pPr>
            <w:r w:rsidRPr="008D5D34">
              <w:rPr>
                <w:rFonts w:eastAsia="Times New Roman" w:cs="Calibri"/>
                <w:b/>
                <w:bCs/>
                <w:color w:val="000000"/>
                <w:lang w:eastAsia="es-CL"/>
              </w:rPr>
              <w:t>1.059.224.213</w:t>
            </w:r>
          </w:p>
        </w:tc>
        <w:tc>
          <w:tcPr>
            <w:tcW w:w="1153" w:type="dxa"/>
            <w:tcBorders>
              <w:top w:val="nil"/>
              <w:left w:val="nil"/>
              <w:bottom w:val="single" w:sz="4" w:space="0" w:color="auto"/>
              <w:right w:val="single" w:sz="4" w:space="0" w:color="auto"/>
            </w:tcBorders>
            <w:shd w:val="clear" w:color="000000" w:fill="DCE6F1"/>
            <w:noWrap/>
            <w:vAlign w:val="center"/>
            <w:hideMark/>
          </w:tcPr>
          <w:p w14:paraId="4F0C2731" w14:textId="77777777" w:rsidR="008D5D34" w:rsidRPr="008D5D34" w:rsidRDefault="008D5D34" w:rsidP="008D5D34">
            <w:pPr>
              <w:spacing w:after="0" w:line="240" w:lineRule="auto"/>
              <w:jc w:val="right"/>
              <w:rPr>
                <w:rFonts w:eastAsia="Times New Roman" w:cs="Calibri"/>
                <w:b/>
                <w:bCs/>
                <w:color w:val="000000"/>
                <w:lang w:eastAsia="es-CL"/>
              </w:rPr>
            </w:pPr>
            <w:r w:rsidRPr="008D5D34">
              <w:rPr>
                <w:rFonts w:eastAsia="Times New Roman" w:cs="Calibri"/>
                <w:b/>
                <w:bCs/>
                <w:color w:val="000000"/>
                <w:lang w:eastAsia="es-CL"/>
              </w:rPr>
              <w:t>100,0%</w:t>
            </w:r>
          </w:p>
        </w:tc>
      </w:tr>
      <w:tr w:rsidR="008D5D34" w:rsidRPr="008D5D34" w14:paraId="35F55FEE" w14:textId="77777777" w:rsidTr="008D5D34">
        <w:trPr>
          <w:trHeight w:val="303"/>
        </w:trPr>
        <w:tc>
          <w:tcPr>
            <w:tcW w:w="8784" w:type="dxa"/>
            <w:gridSpan w:val="4"/>
            <w:tcBorders>
              <w:top w:val="single" w:sz="4" w:space="0" w:color="auto"/>
              <w:left w:val="nil"/>
              <w:bottom w:val="nil"/>
              <w:right w:val="nil"/>
            </w:tcBorders>
            <w:shd w:val="clear" w:color="auto" w:fill="auto"/>
            <w:noWrap/>
            <w:vAlign w:val="center"/>
            <w:hideMark/>
          </w:tcPr>
          <w:p w14:paraId="14E87C4D" w14:textId="77777777" w:rsidR="008D5D34" w:rsidRPr="008D5D34" w:rsidRDefault="008D5D34" w:rsidP="008D5D34">
            <w:pPr>
              <w:spacing w:after="0" w:line="240" w:lineRule="auto"/>
              <w:jc w:val="center"/>
              <w:rPr>
                <w:rFonts w:eastAsia="Times New Roman" w:cs="Calibri"/>
                <w:color w:val="000000"/>
                <w:sz w:val="16"/>
                <w:szCs w:val="16"/>
                <w:lang w:eastAsia="es-CL"/>
              </w:rPr>
            </w:pPr>
            <w:r w:rsidRPr="008D5D34">
              <w:rPr>
                <w:rFonts w:eastAsia="Times New Roman" w:cs="Calibri"/>
                <w:color w:val="000000"/>
                <w:sz w:val="16"/>
                <w:szCs w:val="16"/>
                <w:lang w:eastAsia="es-CL"/>
              </w:rPr>
              <w:t>Fuente Información: Sistema Informático OPA MAPVT</w:t>
            </w:r>
          </w:p>
        </w:tc>
      </w:tr>
    </w:tbl>
    <w:p w14:paraId="20381CC6" w14:textId="77777777" w:rsidR="008D5D34" w:rsidRDefault="008D5D34" w:rsidP="0059317A">
      <w:pPr>
        <w:spacing w:line="240" w:lineRule="auto"/>
        <w:jc w:val="both"/>
        <w:rPr>
          <w:sz w:val="24"/>
          <w:szCs w:val="24"/>
        </w:rPr>
      </w:pPr>
    </w:p>
    <w:p w14:paraId="1B8C19EB" w14:textId="77777777" w:rsidR="00023196" w:rsidRPr="0035148E" w:rsidRDefault="00F53B93" w:rsidP="0059317A">
      <w:pPr>
        <w:spacing w:line="240" w:lineRule="auto"/>
        <w:jc w:val="both"/>
        <w:rPr>
          <w:b/>
          <w:color w:val="365F91"/>
          <w:sz w:val="28"/>
          <w:szCs w:val="28"/>
        </w:rPr>
      </w:pPr>
      <w:r w:rsidRPr="00BA2841">
        <w:rPr>
          <w:b/>
          <w:color w:val="365F91"/>
          <w:sz w:val="24"/>
          <w:szCs w:val="24"/>
        </w:rPr>
        <w:t>3</w:t>
      </w:r>
      <w:r w:rsidR="00023196" w:rsidRPr="00BA2841">
        <w:rPr>
          <w:b/>
          <w:color w:val="365F91"/>
          <w:sz w:val="24"/>
          <w:szCs w:val="24"/>
        </w:rPr>
        <w:t>.</w:t>
      </w:r>
      <w:r w:rsidR="00023196" w:rsidRPr="0034480E">
        <w:rPr>
          <w:b/>
          <w:sz w:val="24"/>
          <w:szCs w:val="24"/>
        </w:rPr>
        <w:t xml:space="preserve"> </w:t>
      </w:r>
      <w:r w:rsidR="00023196" w:rsidRPr="0035148E">
        <w:rPr>
          <w:b/>
          <w:color w:val="365F91"/>
          <w:sz w:val="28"/>
          <w:szCs w:val="28"/>
        </w:rPr>
        <w:t>Recursos dispuestos para la implementación de las medidas destinadas a la protección de las víctimas</w:t>
      </w:r>
      <w:r>
        <w:rPr>
          <w:b/>
          <w:color w:val="365F91"/>
          <w:sz w:val="28"/>
          <w:szCs w:val="28"/>
        </w:rPr>
        <w:t xml:space="preserve">, testigos, peritos </w:t>
      </w:r>
      <w:r w:rsidR="00023196" w:rsidRPr="0035148E">
        <w:rPr>
          <w:b/>
          <w:color w:val="365F91"/>
          <w:sz w:val="28"/>
          <w:szCs w:val="28"/>
        </w:rPr>
        <w:t>frente a probables hostigamientos, amenazas o atentados.</w:t>
      </w:r>
    </w:p>
    <w:p w14:paraId="68CB046A" w14:textId="77777777" w:rsidR="00661619" w:rsidRDefault="00661619" w:rsidP="0059317A">
      <w:pPr>
        <w:spacing w:line="240" w:lineRule="auto"/>
        <w:jc w:val="both"/>
        <w:rPr>
          <w:sz w:val="24"/>
          <w:szCs w:val="24"/>
        </w:rPr>
      </w:pPr>
      <w:r>
        <w:rPr>
          <w:sz w:val="24"/>
          <w:szCs w:val="24"/>
        </w:rPr>
        <w:t xml:space="preserve">Para dar respuesta al segundo punto de este requerimiento de información relacionado con los recursos dispuestos por el Ministerio Público en materia </w:t>
      </w:r>
      <w:proofErr w:type="spellStart"/>
      <w:r>
        <w:rPr>
          <w:sz w:val="24"/>
          <w:szCs w:val="24"/>
        </w:rPr>
        <w:t>proteccional</w:t>
      </w:r>
      <w:proofErr w:type="spellEnd"/>
      <w:r>
        <w:rPr>
          <w:sz w:val="24"/>
          <w:szCs w:val="24"/>
        </w:rPr>
        <w:t xml:space="preserve"> </w:t>
      </w:r>
      <w:r w:rsidR="004B3D3D">
        <w:rPr>
          <w:sz w:val="24"/>
          <w:szCs w:val="24"/>
        </w:rPr>
        <w:t>a las víctimas, testigos</w:t>
      </w:r>
      <w:r w:rsidR="00F53B93">
        <w:rPr>
          <w:sz w:val="24"/>
          <w:szCs w:val="24"/>
        </w:rPr>
        <w:t>,</w:t>
      </w:r>
      <w:r w:rsidR="004B3D3D">
        <w:rPr>
          <w:sz w:val="24"/>
          <w:szCs w:val="24"/>
        </w:rPr>
        <w:t xml:space="preserve"> peritos que se encuentren en situación de riesgo por ser, o haber sido, objeto de intimidación, amenazas o atentados, </w:t>
      </w:r>
      <w:r w:rsidR="008E64D6">
        <w:rPr>
          <w:sz w:val="24"/>
          <w:szCs w:val="24"/>
        </w:rPr>
        <w:t xml:space="preserve">podemos señalar que </w:t>
      </w:r>
      <w:r w:rsidR="00F53B93">
        <w:rPr>
          <w:sz w:val="24"/>
          <w:szCs w:val="24"/>
        </w:rPr>
        <w:t xml:space="preserve">la información entregada se ha estructurado </w:t>
      </w:r>
      <w:r w:rsidR="00663DDE">
        <w:rPr>
          <w:sz w:val="24"/>
          <w:szCs w:val="24"/>
        </w:rPr>
        <w:t>conforme a</w:t>
      </w:r>
      <w:r>
        <w:rPr>
          <w:sz w:val="24"/>
          <w:szCs w:val="24"/>
        </w:rPr>
        <w:t xml:space="preserve"> las siguientes prestaciones</w:t>
      </w:r>
      <w:r w:rsidR="00F53B93">
        <w:rPr>
          <w:sz w:val="24"/>
          <w:szCs w:val="24"/>
        </w:rPr>
        <w:t xml:space="preserve"> que se entregan por concepto de protección</w:t>
      </w:r>
      <w:r>
        <w:rPr>
          <w:sz w:val="24"/>
          <w:szCs w:val="24"/>
        </w:rPr>
        <w:t xml:space="preserve">: </w:t>
      </w:r>
    </w:p>
    <w:p w14:paraId="4F75519D" w14:textId="77777777" w:rsidR="001560EC" w:rsidRDefault="00661619" w:rsidP="001560EC">
      <w:pPr>
        <w:numPr>
          <w:ilvl w:val="0"/>
          <w:numId w:val="8"/>
        </w:numPr>
        <w:spacing w:line="240" w:lineRule="auto"/>
        <w:ind w:left="284" w:hanging="284"/>
        <w:jc w:val="both"/>
        <w:rPr>
          <w:sz w:val="24"/>
          <w:szCs w:val="24"/>
        </w:rPr>
      </w:pPr>
      <w:r>
        <w:rPr>
          <w:sz w:val="24"/>
          <w:szCs w:val="24"/>
        </w:rPr>
        <w:t>Traslados;</w:t>
      </w:r>
    </w:p>
    <w:p w14:paraId="62C8DE95"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Alimentación en casos de implementación de medidas de protección;</w:t>
      </w:r>
    </w:p>
    <w:p w14:paraId="4F0FDF35"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 xml:space="preserve">Entrega de elementos de seguridad personal y en vivienda; </w:t>
      </w:r>
    </w:p>
    <w:p w14:paraId="2EF2CF5E"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 xml:space="preserve">Asistencia social; </w:t>
      </w:r>
    </w:p>
    <w:p w14:paraId="340A1E31"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Atenc</w:t>
      </w:r>
      <w:r w:rsidR="001560EC">
        <w:rPr>
          <w:sz w:val="24"/>
          <w:szCs w:val="24"/>
        </w:rPr>
        <w:t>ión psicológica y psiquiátrica;</w:t>
      </w:r>
    </w:p>
    <w:p w14:paraId="03351DDD" w14:textId="77777777" w:rsidR="001560EC" w:rsidRDefault="00661619" w:rsidP="001560EC">
      <w:pPr>
        <w:numPr>
          <w:ilvl w:val="0"/>
          <w:numId w:val="8"/>
        </w:numPr>
        <w:spacing w:line="240" w:lineRule="auto"/>
        <w:ind w:left="284" w:hanging="284"/>
        <w:jc w:val="both"/>
        <w:rPr>
          <w:sz w:val="24"/>
          <w:szCs w:val="24"/>
        </w:rPr>
      </w:pPr>
      <w:r w:rsidRPr="001560EC">
        <w:rPr>
          <w:sz w:val="24"/>
          <w:szCs w:val="24"/>
        </w:rPr>
        <w:t>Reubicación temporal y definitiva; y</w:t>
      </w:r>
    </w:p>
    <w:p w14:paraId="27C75585" w14:textId="77777777" w:rsidR="00661619" w:rsidRPr="001560EC" w:rsidRDefault="00661619" w:rsidP="001560EC">
      <w:pPr>
        <w:numPr>
          <w:ilvl w:val="0"/>
          <w:numId w:val="8"/>
        </w:numPr>
        <w:spacing w:line="240" w:lineRule="auto"/>
        <w:ind w:left="284" w:hanging="284"/>
        <w:jc w:val="both"/>
        <w:rPr>
          <w:sz w:val="24"/>
          <w:szCs w:val="24"/>
        </w:rPr>
      </w:pPr>
      <w:r w:rsidRPr="001560EC">
        <w:rPr>
          <w:sz w:val="24"/>
          <w:szCs w:val="24"/>
        </w:rPr>
        <w:t>Otras prestaciones que cumplan el objetivo de dar protección.</w:t>
      </w:r>
    </w:p>
    <w:p w14:paraId="1E98E9A3" w14:textId="77777777" w:rsidR="00F53B93" w:rsidRDefault="00F53B93" w:rsidP="0059317A">
      <w:pPr>
        <w:spacing w:line="240" w:lineRule="auto"/>
        <w:jc w:val="both"/>
        <w:rPr>
          <w:sz w:val="24"/>
          <w:szCs w:val="24"/>
        </w:rPr>
      </w:pPr>
      <w:r>
        <w:rPr>
          <w:sz w:val="24"/>
          <w:szCs w:val="24"/>
        </w:rPr>
        <w:lastRenderedPageBreak/>
        <w:t>Si bien la información solicitada en esta parte del requerimiento hace referencia a las medidas por concepto de Protección, dado la gran cantidad de recursos que conlleva el otorgamiento de las medidas otorgadas por concepto de A</w:t>
      </w:r>
      <w:r w:rsidR="004102E7">
        <w:rPr>
          <w:sz w:val="24"/>
          <w:szCs w:val="24"/>
        </w:rPr>
        <w:t xml:space="preserve">poyo, ya sea, </w:t>
      </w:r>
      <w:r>
        <w:rPr>
          <w:sz w:val="24"/>
          <w:szCs w:val="24"/>
        </w:rPr>
        <w:t xml:space="preserve">para facilitar la participación en el proceso penal de las víctimas y testigos </w:t>
      </w:r>
      <w:r w:rsidR="004102E7">
        <w:rPr>
          <w:sz w:val="24"/>
          <w:szCs w:val="24"/>
        </w:rPr>
        <w:t>como para</w:t>
      </w:r>
      <w:r>
        <w:rPr>
          <w:sz w:val="24"/>
          <w:szCs w:val="24"/>
        </w:rPr>
        <w:t xml:space="preserve"> disminuir las perturbaciones que hubiere de soportar las víctimas que intervengan en un proceso penal, </w:t>
      </w:r>
      <w:r w:rsidR="004102E7">
        <w:rPr>
          <w:sz w:val="24"/>
          <w:szCs w:val="24"/>
        </w:rPr>
        <w:t xml:space="preserve">se ha estimado conveniente informar </w:t>
      </w:r>
      <w:r>
        <w:rPr>
          <w:sz w:val="24"/>
          <w:szCs w:val="24"/>
        </w:rPr>
        <w:t xml:space="preserve">también </w:t>
      </w:r>
      <w:r w:rsidR="004102E7">
        <w:rPr>
          <w:sz w:val="24"/>
          <w:szCs w:val="24"/>
        </w:rPr>
        <w:t>estas prestaciones</w:t>
      </w:r>
      <w:r>
        <w:rPr>
          <w:sz w:val="24"/>
          <w:szCs w:val="24"/>
        </w:rPr>
        <w:t>.</w:t>
      </w:r>
    </w:p>
    <w:p w14:paraId="6B47E382" w14:textId="62514ECB" w:rsidR="00F53B93" w:rsidRPr="000542A3" w:rsidRDefault="00F53B93" w:rsidP="0059317A">
      <w:pPr>
        <w:spacing w:line="240" w:lineRule="auto"/>
        <w:jc w:val="both"/>
        <w:rPr>
          <w:b/>
          <w:color w:val="365F91"/>
          <w:sz w:val="32"/>
          <w:szCs w:val="32"/>
        </w:rPr>
      </w:pPr>
      <w:r w:rsidRPr="000542A3">
        <w:rPr>
          <w:sz w:val="24"/>
          <w:szCs w:val="24"/>
        </w:rPr>
        <w:t xml:space="preserve">La información de las prestaciones por protección </w:t>
      </w:r>
      <w:r>
        <w:rPr>
          <w:sz w:val="24"/>
          <w:szCs w:val="24"/>
        </w:rPr>
        <w:t xml:space="preserve">y apoyo </w:t>
      </w:r>
      <w:proofErr w:type="gramStart"/>
      <w:r w:rsidRPr="000542A3">
        <w:rPr>
          <w:sz w:val="24"/>
          <w:szCs w:val="24"/>
        </w:rPr>
        <w:t>en relación a</w:t>
      </w:r>
      <w:proofErr w:type="gramEnd"/>
      <w:r w:rsidRPr="000542A3">
        <w:rPr>
          <w:sz w:val="24"/>
          <w:szCs w:val="24"/>
        </w:rPr>
        <w:t xml:space="preserve"> la cantidad y recursos utilizados, </w:t>
      </w:r>
      <w:r>
        <w:rPr>
          <w:sz w:val="24"/>
          <w:szCs w:val="24"/>
        </w:rPr>
        <w:t xml:space="preserve">dado lo extenso de su contenido, </w:t>
      </w:r>
      <w:r w:rsidRPr="000542A3">
        <w:rPr>
          <w:sz w:val="24"/>
          <w:szCs w:val="24"/>
        </w:rPr>
        <w:t xml:space="preserve">se presenta a continuación en el archivo Excel </w:t>
      </w:r>
      <w:r w:rsidRPr="000542A3">
        <w:rPr>
          <w:b/>
          <w:sz w:val="24"/>
          <w:szCs w:val="24"/>
        </w:rPr>
        <w:t>“</w:t>
      </w:r>
      <w:r w:rsidR="008D5D34" w:rsidRPr="008D5D34">
        <w:rPr>
          <w:b/>
          <w:sz w:val="24"/>
          <w:szCs w:val="24"/>
        </w:rPr>
        <w:t>3_Informe_Glosa Programa N°1_julio_septiembre_2024</w:t>
      </w:r>
      <w:r w:rsidRPr="000542A3">
        <w:rPr>
          <w:b/>
          <w:sz w:val="24"/>
          <w:szCs w:val="24"/>
        </w:rPr>
        <w:t>”</w:t>
      </w:r>
      <w:r>
        <w:rPr>
          <w:b/>
          <w:sz w:val="24"/>
          <w:szCs w:val="24"/>
        </w:rPr>
        <w:t>.</w:t>
      </w:r>
      <w:r w:rsidR="007E5FD1">
        <w:rPr>
          <w:b/>
          <w:sz w:val="24"/>
          <w:szCs w:val="24"/>
        </w:rPr>
        <w:t xml:space="preserve"> </w:t>
      </w:r>
      <w:r w:rsidRPr="000542A3">
        <w:rPr>
          <w:sz w:val="24"/>
          <w:szCs w:val="24"/>
        </w:rPr>
        <w:t>El detalle de la información es el siguiente:</w:t>
      </w:r>
    </w:p>
    <w:p w14:paraId="3FEFF580" w14:textId="38C7A17F" w:rsidR="001560EC" w:rsidRDefault="00F53B93" w:rsidP="001560EC">
      <w:pPr>
        <w:numPr>
          <w:ilvl w:val="0"/>
          <w:numId w:val="9"/>
        </w:numPr>
        <w:spacing w:line="240" w:lineRule="auto"/>
        <w:ind w:left="284" w:hanging="284"/>
        <w:jc w:val="both"/>
        <w:rPr>
          <w:sz w:val="24"/>
          <w:szCs w:val="24"/>
        </w:rPr>
      </w:pPr>
      <w:r>
        <w:rPr>
          <w:sz w:val="24"/>
          <w:szCs w:val="24"/>
        </w:rPr>
        <w:t>3.1 R</w:t>
      </w:r>
      <w:r w:rsidRPr="005D3DD2">
        <w:rPr>
          <w:sz w:val="24"/>
          <w:szCs w:val="24"/>
        </w:rPr>
        <w:t xml:space="preserve">esumen Prestaciones Categoría Protección otorgadas durante el </w:t>
      </w:r>
      <w:r w:rsidR="003C535D">
        <w:rPr>
          <w:sz w:val="24"/>
          <w:szCs w:val="24"/>
        </w:rPr>
        <w:t>tercer trimestre</w:t>
      </w:r>
      <w:r w:rsidR="00144043">
        <w:rPr>
          <w:sz w:val="24"/>
          <w:szCs w:val="24"/>
        </w:rPr>
        <w:t xml:space="preserve"> </w:t>
      </w:r>
      <w:bookmarkStart w:id="0" w:name="_Hlk164694575"/>
      <w:r w:rsidR="00144043">
        <w:rPr>
          <w:sz w:val="24"/>
          <w:szCs w:val="24"/>
        </w:rPr>
        <w:t>del año</w:t>
      </w:r>
      <w:r w:rsidR="00275523">
        <w:rPr>
          <w:sz w:val="24"/>
          <w:szCs w:val="24"/>
        </w:rPr>
        <w:t xml:space="preserve"> </w:t>
      </w:r>
      <w:bookmarkEnd w:id="0"/>
      <w:r w:rsidR="00144043">
        <w:rPr>
          <w:sz w:val="24"/>
          <w:szCs w:val="24"/>
        </w:rPr>
        <w:t>2024</w:t>
      </w:r>
      <w:r w:rsidR="007E5FD1">
        <w:rPr>
          <w:sz w:val="24"/>
          <w:szCs w:val="24"/>
        </w:rPr>
        <w:t>.</w:t>
      </w:r>
    </w:p>
    <w:p w14:paraId="73AA1254" w14:textId="46405492"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3.2 Resumen Prestaciones Categoría Protección según Modelos de Atención y Otros Delitos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5E8E10C2" w14:textId="7124ACF3"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3.3 Apertura Mensual de Prestaciones Categoría Protección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0B25C037" w14:textId="0E4831DA"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3.4 Apertura a Nivel Regional de Prestaciones Categoría Protección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424BBA5F" w14:textId="47CD5E87"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3.5 Apertura a Nivel Regional de Prestaciones Categoría Protección según Modelos de Atención y Otros Delitos Otorgadas durante el </w:t>
      </w:r>
      <w:r w:rsidR="003C535D">
        <w:rPr>
          <w:sz w:val="24"/>
          <w:szCs w:val="24"/>
        </w:rPr>
        <w:t>tercer trimestre</w:t>
      </w:r>
      <w:r w:rsidR="00144043" w:rsidRPr="00144043">
        <w:rPr>
          <w:sz w:val="24"/>
          <w:szCs w:val="24"/>
        </w:rPr>
        <w:t xml:space="preserve"> </w:t>
      </w:r>
      <w:r w:rsidR="00144043">
        <w:rPr>
          <w:sz w:val="24"/>
          <w:szCs w:val="24"/>
        </w:rPr>
        <w:t>del año</w:t>
      </w:r>
      <w:r w:rsidR="00275523">
        <w:rPr>
          <w:sz w:val="24"/>
          <w:szCs w:val="24"/>
        </w:rPr>
        <w:t xml:space="preserve"> </w:t>
      </w:r>
      <w:r w:rsidR="00144043">
        <w:rPr>
          <w:sz w:val="24"/>
          <w:szCs w:val="24"/>
        </w:rPr>
        <w:t>2024</w:t>
      </w:r>
      <w:r w:rsidR="003E246B">
        <w:rPr>
          <w:sz w:val="24"/>
          <w:szCs w:val="24"/>
        </w:rPr>
        <w:t>.</w:t>
      </w:r>
    </w:p>
    <w:p w14:paraId="6E39B7C9" w14:textId="0073B169"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3.6 Resumen Prestaciones Categoría Apoyo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374C7BBA" w14:textId="7E53CA01"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3.7 Resumen Prestaciones Categoría Apoyo según Modelos de Atención y Otros Delitos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0C336305" w14:textId="22BE4857" w:rsidR="003E246B" w:rsidRDefault="00F53B93" w:rsidP="001560EC">
      <w:pPr>
        <w:numPr>
          <w:ilvl w:val="0"/>
          <w:numId w:val="9"/>
        </w:numPr>
        <w:spacing w:line="240" w:lineRule="auto"/>
        <w:ind w:left="284" w:hanging="284"/>
        <w:jc w:val="both"/>
        <w:rPr>
          <w:sz w:val="24"/>
          <w:szCs w:val="24"/>
        </w:rPr>
      </w:pPr>
      <w:r w:rsidRPr="003E246B">
        <w:rPr>
          <w:sz w:val="24"/>
          <w:szCs w:val="24"/>
        </w:rPr>
        <w:t xml:space="preserve">3.8 Apertura Mensual de Prestaciones Categoría Apoyo otorgadas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2A6A5F21" w14:textId="442238F8" w:rsidR="001560EC" w:rsidRPr="003E246B" w:rsidRDefault="00F53B93" w:rsidP="001560EC">
      <w:pPr>
        <w:numPr>
          <w:ilvl w:val="0"/>
          <w:numId w:val="9"/>
        </w:numPr>
        <w:spacing w:line="240" w:lineRule="auto"/>
        <w:ind w:left="284" w:hanging="284"/>
        <w:jc w:val="both"/>
        <w:rPr>
          <w:sz w:val="24"/>
          <w:szCs w:val="24"/>
        </w:rPr>
      </w:pPr>
      <w:r w:rsidRPr="003E246B">
        <w:rPr>
          <w:sz w:val="24"/>
          <w:szCs w:val="24"/>
        </w:rPr>
        <w:t>3.9 Apertura a Nivel Regional de Prestaciones Categoría Apoyo otorgadas durante el</w:t>
      </w:r>
      <w:r w:rsidR="00B53D63" w:rsidRPr="003E246B">
        <w:rPr>
          <w:sz w:val="24"/>
          <w:szCs w:val="24"/>
        </w:rPr>
        <w:t xml:space="preserve">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4DD04430" w14:textId="7120C738" w:rsidR="001560EC" w:rsidRDefault="00F53B93" w:rsidP="001560EC">
      <w:pPr>
        <w:numPr>
          <w:ilvl w:val="0"/>
          <w:numId w:val="9"/>
        </w:numPr>
        <w:spacing w:line="240" w:lineRule="auto"/>
        <w:ind w:left="284" w:hanging="284"/>
        <w:jc w:val="both"/>
        <w:rPr>
          <w:sz w:val="24"/>
          <w:szCs w:val="24"/>
        </w:rPr>
      </w:pPr>
      <w:r w:rsidRPr="001560EC">
        <w:rPr>
          <w:sz w:val="24"/>
          <w:szCs w:val="24"/>
        </w:rPr>
        <w:t xml:space="preserve">3.10 Apertura a Nivel Regional de Prestaciones Categoría Apoyo según Modelos de Atención y Otros Delitos </w:t>
      </w:r>
      <w:r w:rsidR="00C1430A" w:rsidRPr="001560EC">
        <w:rPr>
          <w:sz w:val="24"/>
          <w:szCs w:val="24"/>
        </w:rPr>
        <w:t>o</w:t>
      </w:r>
      <w:r w:rsidRPr="001560EC">
        <w:rPr>
          <w:sz w:val="24"/>
          <w:szCs w:val="24"/>
        </w:rPr>
        <w:t xml:space="preserve">torgadas durante el </w:t>
      </w:r>
      <w:r w:rsidR="003C535D">
        <w:rPr>
          <w:sz w:val="24"/>
          <w:szCs w:val="24"/>
        </w:rPr>
        <w:t>tercer trimestre</w:t>
      </w:r>
      <w:r w:rsidR="00275523">
        <w:rPr>
          <w:sz w:val="24"/>
          <w:szCs w:val="24"/>
        </w:rPr>
        <w:t xml:space="preserve"> </w:t>
      </w:r>
      <w:r w:rsidR="00144043">
        <w:rPr>
          <w:sz w:val="24"/>
          <w:szCs w:val="24"/>
        </w:rPr>
        <w:t>del año 2024</w:t>
      </w:r>
      <w:r w:rsidR="003E246B">
        <w:rPr>
          <w:sz w:val="24"/>
          <w:szCs w:val="24"/>
        </w:rPr>
        <w:t>.</w:t>
      </w:r>
    </w:p>
    <w:p w14:paraId="49D4BF0D" w14:textId="1D9FDD06" w:rsidR="007D1BA5" w:rsidRPr="001560EC" w:rsidRDefault="007D1BA5" w:rsidP="001560EC">
      <w:pPr>
        <w:numPr>
          <w:ilvl w:val="0"/>
          <w:numId w:val="9"/>
        </w:numPr>
        <w:spacing w:line="240" w:lineRule="auto"/>
        <w:ind w:left="284" w:hanging="284"/>
        <w:jc w:val="both"/>
        <w:rPr>
          <w:sz w:val="24"/>
          <w:szCs w:val="24"/>
        </w:rPr>
      </w:pPr>
      <w:r w:rsidRPr="001560EC">
        <w:rPr>
          <w:sz w:val="24"/>
          <w:szCs w:val="24"/>
        </w:rPr>
        <w:t>3.11. Apertura de Compras Centralizadas</w:t>
      </w:r>
      <w:r w:rsidR="00C1430A" w:rsidRPr="001560EC">
        <w:rPr>
          <w:sz w:val="24"/>
          <w:szCs w:val="24"/>
        </w:rPr>
        <w:t xml:space="preserve"> realizadas durante el </w:t>
      </w:r>
      <w:r w:rsidR="003C535D">
        <w:rPr>
          <w:sz w:val="24"/>
          <w:szCs w:val="24"/>
        </w:rPr>
        <w:t>tercer trimestre</w:t>
      </w:r>
      <w:r w:rsidR="00144043" w:rsidRPr="00144043">
        <w:rPr>
          <w:sz w:val="24"/>
          <w:szCs w:val="24"/>
        </w:rPr>
        <w:t xml:space="preserve"> </w:t>
      </w:r>
      <w:r w:rsidR="00144043">
        <w:rPr>
          <w:sz w:val="24"/>
          <w:szCs w:val="24"/>
        </w:rPr>
        <w:t>del año</w:t>
      </w:r>
      <w:r w:rsidR="00275523">
        <w:rPr>
          <w:sz w:val="24"/>
          <w:szCs w:val="24"/>
        </w:rPr>
        <w:t xml:space="preserve"> </w:t>
      </w:r>
      <w:r w:rsidR="00144043">
        <w:rPr>
          <w:sz w:val="24"/>
          <w:szCs w:val="24"/>
        </w:rPr>
        <w:t>2024</w:t>
      </w:r>
      <w:r w:rsidR="003E246B">
        <w:rPr>
          <w:sz w:val="24"/>
          <w:szCs w:val="24"/>
        </w:rPr>
        <w:t>.</w:t>
      </w:r>
    </w:p>
    <w:p w14:paraId="3C10C230" w14:textId="77777777" w:rsidR="00985FB3" w:rsidRDefault="00985FB3" w:rsidP="0059317A">
      <w:pPr>
        <w:spacing w:line="240" w:lineRule="auto"/>
        <w:jc w:val="both"/>
        <w:rPr>
          <w:b/>
          <w:color w:val="365F91"/>
          <w:sz w:val="28"/>
          <w:szCs w:val="28"/>
        </w:rPr>
      </w:pPr>
    </w:p>
    <w:p w14:paraId="2D3BE8F3" w14:textId="03AA6C7E" w:rsidR="00C969D2" w:rsidRPr="0035148E" w:rsidRDefault="00F53B93" w:rsidP="0059317A">
      <w:pPr>
        <w:spacing w:line="240" w:lineRule="auto"/>
        <w:jc w:val="both"/>
        <w:rPr>
          <w:b/>
          <w:color w:val="365F91"/>
          <w:sz w:val="28"/>
          <w:szCs w:val="28"/>
        </w:rPr>
      </w:pPr>
      <w:r>
        <w:rPr>
          <w:b/>
          <w:color w:val="365F91"/>
          <w:sz w:val="28"/>
          <w:szCs w:val="28"/>
        </w:rPr>
        <w:lastRenderedPageBreak/>
        <w:t>4</w:t>
      </w:r>
      <w:r w:rsidR="00C969D2" w:rsidRPr="0035148E">
        <w:rPr>
          <w:b/>
          <w:color w:val="365F91"/>
          <w:sz w:val="28"/>
          <w:szCs w:val="28"/>
        </w:rPr>
        <w:t>. Medidas que requieran la presencia permanente de funcionarios policiales. Condiciones de seguridad y habitabilidad dispuestas para que ellas sean llevadas a cabo en forma eficiente.</w:t>
      </w:r>
    </w:p>
    <w:p w14:paraId="6E647F61" w14:textId="77777777" w:rsidR="00C969D2" w:rsidRDefault="00C969D2" w:rsidP="0059317A">
      <w:pPr>
        <w:spacing w:line="240" w:lineRule="auto"/>
        <w:jc w:val="both"/>
        <w:rPr>
          <w:sz w:val="24"/>
          <w:szCs w:val="24"/>
        </w:rPr>
      </w:pPr>
      <w:r>
        <w:rPr>
          <w:sz w:val="24"/>
          <w:szCs w:val="24"/>
        </w:rPr>
        <w:t xml:space="preserve">La </w:t>
      </w:r>
      <w:r w:rsidR="00AB4A6C">
        <w:rPr>
          <w:sz w:val="24"/>
          <w:szCs w:val="24"/>
        </w:rPr>
        <w:t>tercera</w:t>
      </w:r>
      <w:r>
        <w:rPr>
          <w:sz w:val="24"/>
          <w:szCs w:val="24"/>
        </w:rPr>
        <w:t xml:space="preserve"> parte de la solicitud de información refiere a aquellas medidas que requieren la presencia permanente de funcionarios policiales, como son, el dispositivo de seguridad personal y punto fijo policial. Respecto, a las condiciones de seguridad y habitabilidad dispuestas para su ejecución, resulta necesario hacer presente que el Ministerio Público no tiene injerencia en la disposición de las señaladas condiciones, ya que se trata de funcionarios cuya institución debe proporcionar los medios para dar cumplimiento a la labor que les corresponde desempeñar en razón de su calidad de organismo auxiliar del Ministerio Público en las funciones asignadas a éste, como son, la persecución penal y la adopción de medidas para proteger a víctimas y testigos.</w:t>
      </w:r>
    </w:p>
    <w:p w14:paraId="20779990" w14:textId="77777777" w:rsidR="00023E77" w:rsidRDefault="00023E77" w:rsidP="0059317A">
      <w:pPr>
        <w:spacing w:line="240" w:lineRule="auto"/>
        <w:jc w:val="both"/>
        <w:rPr>
          <w:sz w:val="24"/>
          <w:szCs w:val="24"/>
        </w:rPr>
      </w:pPr>
      <w:r>
        <w:rPr>
          <w:sz w:val="24"/>
          <w:szCs w:val="24"/>
        </w:rPr>
        <w:t xml:space="preserve">Por lo cual, corresponde que tal información sea proporcionada por las respectivas instituciones policiales.   </w:t>
      </w:r>
    </w:p>
    <w:p w14:paraId="274ADD64" w14:textId="77777777" w:rsidR="000542A3" w:rsidRPr="008311B1" w:rsidRDefault="000542A3" w:rsidP="0059317A">
      <w:pPr>
        <w:spacing w:line="240" w:lineRule="auto"/>
        <w:jc w:val="both"/>
        <w:rPr>
          <w:sz w:val="24"/>
          <w:szCs w:val="24"/>
        </w:rPr>
      </w:pPr>
    </w:p>
    <w:p w14:paraId="7E1C0204" w14:textId="77777777" w:rsidR="007755BC" w:rsidRPr="008B65E8" w:rsidRDefault="007755BC" w:rsidP="0059317A">
      <w:pPr>
        <w:spacing w:line="240" w:lineRule="auto"/>
        <w:ind w:left="360"/>
        <w:jc w:val="both"/>
        <w:rPr>
          <w:sz w:val="24"/>
          <w:szCs w:val="24"/>
        </w:rPr>
      </w:pPr>
    </w:p>
    <w:sectPr w:rsidR="007755BC" w:rsidRPr="008B65E8" w:rsidSect="002B7BB9">
      <w:headerReference w:type="default" r:id="rId8"/>
      <w:footerReference w:type="default" r:id="rId9"/>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52CCD" w14:textId="77777777" w:rsidR="00845D0A" w:rsidRDefault="00845D0A" w:rsidP="00536D4A">
      <w:pPr>
        <w:spacing w:after="0" w:line="240" w:lineRule="auto"/>
      </w:pPr>
      <w:r>
        <w:separator/>
      </w:r>
    </w:p>
  </w:endnote>
  <w:endnote w:type="continuationSeparator" w:id="0">
    <w:p w14:paraId="0A33ECAF" w14:textId="77777777" w:rsidR="00845D0A" w:rsidRDefault="00845D0A" w:rsidP="00536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C58D1" w14:textId="77777777" w:rsidR="00F452ED" w:rsidRPr="00F452ED" w:rsidRDefault="00F452ED" w:rsidP="00FF48F5">
    <w:pPr>
      <w:pStyle w:val="Piedepgina"/>
      <w:pBdr>
        <w:top w:val="thinThickSmallGap" w:sz="24" w:space="1" w:color="622423"/>
      </w:pBdr>
      <w:tabs>
        <w:tab w:val="clear" w:pos="4419"/>
      </w:tabs>
      <w:ind w:left="30"/>
      <w:rPr>
        <w:rFonts w:ascii="Cambria" w:eastAsia="Times New Roman" w:hAnsi="Cambria"/>
        <w:color w:val="808080"/>
      </w:rPr>
    </w:pPr>
    <w:r w:rsidRPr="00F452ED">
      <w:rPr>
        <w:rFonts w:ascii="Cambria" w:eastAsia="Times New Roman" w:hAnsi="Cambria"/>
        <w:color w:val="808080"/>
        <w:sz w:val="28"/>
        <w:szCs w:val="28"/>
      </w:rPr>
      <w:t>División de Atención a las Víctimas y Testigos</w:t>
    </w:r>
    <w:r w:rsidRPr="00F452ED">
      <w:rPr>
        <w:rFonts w:ascii="Cambria" w:eastAsia="Times New Roman" w:hAnsi="Cambria"/>
        <w:color w:val="808080"/>
        <w:lang w:val="es-ES"/>
      </w:rPr>
      <w:tab/>
      <w:t xml:space="preserve">Página </w:t>
    </w:r>
    <w:r w:rsidRPr="00F452ED">
      <w:rPr>
        <w:rFonts w:eastAsia="Times New Roman"/>
        <w:color w:val="808080"/>
      </w:rPr>
      <w:fldChar w:fldCharType="begin"/>
    </w:r>
    <w:r w:rsidRPr="00F452ED">
      <w:rPr>
        <w:color w:val="808080"/>
      </w:rPr>
      <w:instrText>PAGE   \* MERGEFORMAT</w:instrText>
    </w:r>
    <w:r w:rsidRPr="00F452ED">
      <w:rPr>
        <w:rFonts w:eastAsia="Times New Roman"/>
        <w:color w:val="808080"/>
      </w:rPr>
      <w:fldChar w:fldCharType="separate"/>
    </w:r>
    <w:r w:rsidR="007D2E57" w:rsidRPr="007D2E57">
      <w:rPr>
        <w:rFonts w:ascii="Cambria" w:eastAsia="Times New Roman" w:hAnsi="Cambria"/>
        <w:noProof/>
        <w:color w:val="808080"/>
        <w:lang w:val="es-ES"/>
      </w:rPr>
      <w:t>8</w:t>
    </w:r>
    <w:r w:rsidRPr="00F452ED">
      <w:rPr>
        <w:rFonts w:ascii="Cambria" w:eastAsia="Times New Roman" w:hAnsi="Cambria"/>
        <w:color w:val="808080"/>
      </w:rPr>
      <w:fldChar w:fldCharType="end"/>
    </w:r>
  </w:p>
  <w:p w14:paraId="06283467" w14:textId="77777777" w:rsidR="00536D4A" w:rsidRPr="00C74CDF" w:rsidRDefault="00536D4A" w:rsidP="00536D4A">
    <w:pPr>
      <w:pStyle w:val="Piedepgina"/>
      <w:ind w:firstLine="1416"/>
      <w:rPr>
        <w:b/>
        <w:color w:val="8DB3E2"/>
        <w:sz w:val="36"/>
        <w:szCs w:val="3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83FA3" w14:textId="77777777" w:rsidR="00845D0A" w:rsidRDefault="00845D0A" w:rsidP="00536D4A">
      <w:pPr>
        <w:spacing w:after="0" w:line="240" w:lineRule="auto"/>
      </w:pPr>
      <w:r>
        <w:separator/>
      </w:r>
    </w:p>
  </w:footnote>
  <w:footnote w:type="continuationSeparator" w:id="0">
    <w:p w14:paraId="5DB88C0E" w14:textId="77777777" w:rsidR="00845D0A" w:rsidRDefault="00845D0A" w:rsidP="00536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E409" w14:textId="1D8AF489" w:rsidR="00123C97" w:rsidRDefault="00CE01AD">
    <w:pPr>
      <w:pStyle w:val="Encabezado"/>
    </w:pPr>
    <w:r>
      <w:rPr>
        <w:noProof/>
      </w:rPr>
      <w:drawing>
        <wp:anchor distT="0" distB="0" distL="114300" distR="114300" simplePos="0" relativeHeight="251657728" behindDoc="0" locked="0" layoutInCell="1" allowOverlap="1" wp14:anchorId="57A09B71" wp14:editId="0E4238D5">
          <wp:simplePos x="0" y="0"/>
          <wp:positionH relativeFrom="column">
            <wp:posOffset>1957705</wp:posOffset>
          </wp:positionH>
          <wp:positionV relativeFrom="paragraph">
            <wp:posOffset>-316865</wp:posOffset>
          </wp:positionV>
          <wp:extent cx="1092200" cy="666115"/>
          <wp:effectExtent l="0" t="0" r="0"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666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163E"/>
    <w:multiLevelType w:val="hybridMultilevel"/>
    <w:tmpl w:val="04BAA870"/>
    <w:lvl w:ilvl="0" w:tplc="0736DE70">
      <w:start w:val="1"/>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7950F2E"/>
    <w:multiLevelType w:val="hybridMultilevel"/>
    <w:tmpl w:val="F702C5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70E1992"/>
    <w:multiLevelType w:val="hybridMultilevel"/>
    <w:tmpl w:val="81A2A3C0"/>
    <w:lvl w:ilvl="0" w:tplc="004A6B8E">
      <w:start w:val="1"/>
      <w:numFmt w:val="decimal"/>
      <w:lvlText w:val="(%1)"/>
      <w:lvlJc w:val="left"/>
      <w:pPr>
        <w:ind w:left="390" w:hanging="360"/>
      </w:pPr>
      <w:rPr>
        <w:rFonts w:hint="default"/>
      </w:rPr>
    </w:lvl>
    <w:lvl w:ilvl="1" w:tplc="340A0019" w:tentative="1">
      <w:start w:val="1"/>
      <w:numFmt w:val="lowerLetter"/>
      <w:lvlText w:val="%2."/>
      <w:lvlJc w:val="left"/>
      <w:pPr>
        <w:ind w:left="1110" w:hanging="360"/>
      </w:pPr>
    </w:lvl>
    <w:lvl w:ilvl="2" w:tplc="340A001B" w:tentative="1">
      <w:start w:val="1"/>
      <w:numFmt w:val="lowerRoman"/>
      <w:lvlText w:val="%3."/>
      <w:lvlJc w:val="right"/>
      <w:pPr>
        <w:ind w:left="1830" w:hanging="180"/>
      </w:pPr>
    </w:lvl>
    <w:lvl w:ilvl="3" w:tplc="340A000F" w:tentative="1">
      <w:start w:val="1"/>
      <w:numFmt w:val="decimal"/>
      <w:lvlText w:val="%4."/>
      <w:lvlJc w:val="left"/>
      <w:pPr>
        <w:ind w:left="2550" w:hanging="360"/>
      </w:pPr>
    </w:lvl>
    <w:lvl w:ilvl="4" w:tplc="340A0019" w:tentative="1">
      <w:start w:val="1"/>
      <w:numFmt w:val="lowerLetter"/>
      <w:lvlText w:val="%5."/>
      <w:lvlJc w:val="left"/>
      <w:pPr>
        <w:ind w:left="3270" w:hanging="360"/>
      </w:pPr>
    </w:lvl>
    <w:lvl w:ilvl="5" w:tplc="340A001B" w:tentative="1">
      <w:start w:val="1"/>
      <w:numFmt w:val="lowerRoman"/>
      <w:lvlText w:val="%6."/>
      <w:lvlJc w:val="right"/>
      <w:pPr>
        <w:ind w:left="3990" w:hanging="180"/>
      </w:pPr>
    </w:lvl>
    <w:lvl w:ilvl="6" w:tplc="340A000F" w:tentative="1">
      <w:start w:val="1"/>
      <w:numFmt w:val="decimal"/>
      <w:lvlText w:val="%7."/>
      <w:lvlJc w:val="left"/>
      <w:pPr>
        <w:ind w:left="4710" w:hanging="360"/>
      </w:pPr>
    </w:lvl>
    <w:lvl w:ilvl="7" w:tplc="340A0019" w:tentative="1">
      <w:start w:val="1"/>
      <w:numFmt w:val="lowerLetter"/>
      <w:lvlText w:val="%8."/>
      <w:lvlJc w:val="left"/>
      <w:pPr>
        <w:ind w:left="5430" w:hanging="360"/>
      </w:pPr>
    </w:lvl>
    <w:lvl w:ilvl="8" w:tplc="340A001B" w:tentative="1">
      <w:start w:val="1"/>
      <w:numFmt w:val="lowerRoman"/>
      <w:lvlText w:val="%9."/>
      <w:lvlJc w:val="right"/>
      <w:pPr>
        <w:ind w:left="6150" w:hanging="180"/>
      </w:pPr>
    </w:lvl>
  </w:abstractNum>
  <w:abstractNum w:abstractNumId="3" w15:restartNumberingAfterBreak="0">
    <w:nsid w:val="1C3E3E28"/>
    <w:multiLevelType w:val="hybridMultilevel"/>
    <w:tmpl w:val="8960A3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94603BB"/>
    <w:multiLevelType w:val="hybridMultilevel"/>
    <w:tmpl w:val="8626EB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457E2AD8"/>
    <w:multiLevelType w:val="hybridMultilevel"/>
    <w:tmpl w:val="0F4C1F1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CC44808"/>
    <w:multiLevelType w:val="hybridMultilevel"/>
    <w:tmpl w:val="DE8AD9DA"/>
    <w:lvl w:ilvl="0" w:tplc="102242D0">
      <w:start w:val="1"/>
      <w:numFmt w:val="decimal"/>
      <w:lvlText w:val="%1."/>
      <w:lvlJc w:val="left"/>
      <w:pPr>
        <w:ind w:left="720" w:hanging="360"/>
      </w:pPr>
      <w:rPr>
        <w:rFonts w:hint="default"/>
        <w:color w:val="365F91"/>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59FF42AC"/>
    <w:multiLevelType w:val="hybridMultilevel"/>
    <w:tmpl w:val="2AFED426"/>
    <w:lvl w:ilvl="0" w:tplc="519C2502">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AFB1073"/>
    <w:multiLevelType w:val="multilevel"/>
    <w:tmpl w:val="75387510"/>
    <w:lvl w:ilvl="0">
      <w:start w:val="1"/>
      <w:numFmt w:val="decimal"/>
      <w:pStyle w:val="Ttulo1"/>
      <w:lvlText w:val="%1."/>
      <w:lvlJc w:val="left"/>
      <w:pPr>
        <w:ind w:left="644" w:hanging="360"/>
      </w:pPr>
      <w:rPr>
        <w:color w:val="0D4582"/>
      </w:rPr>
    </w:lvl>
    <w:lvl w:ilvl="1">
      <w:start w:val="1"/>
      <w:numFmt w:val="decimal"/>
      <w:pStyle w:val="Ttulo2"/>
      <w:lvlText w:val="%1.%2"/>
      <w:lvlJc w:val="left"/>
      <w:pPr>
        <w:ind w:left="-1267" w:hanging="576"/>
      </w:pPr>
    </w:lvl>
    <w:lvl w:ilvl="2">
      <w:start w:val="1"/>
      <w:numFmt w:val="decimal"/>
      <w:pStyle w:val="Ttulo3"/>
      <w:lvlText w:val="%1.%2.%3"/>
      <w:lvlJc w:val="left"/>
      <w:pPr>
        <w:ind w:left="-1123" w:hanging="720"/>
      </w:pPr>
    </w:lvl>
    <w:lvl w:ilvl="3">
      <w:start w:val="1"/>
      <w:numFmt w:val="decimal"/>
      <w:pStyle w:val="Ttulo4"/>
      <w:lvlText w:val="%1.%2.%3.%4"/>
      <w:lvlJc w:val="left"/>
      <w:pPr>
        <w:ind w:left="-979" w:hanging="864"/>
      </w:pPr>
    </w:lvl>
    <w:lvl w:ilvl="4">
      <w:start w:val="1"/>
      <w:numFmt w:val="decimal"/>
      <w:pStyle w:val="Ttulo5"/>
      <w:lvlText w:val="%1.%2.%3.%4.%5"/>
      <w:lvlJc w:val="left"/>
      <w:pPr>
        <w:ind w:left="-835" w:hanging="1008"/>
      </w:pPr>
      <w:rPr>
        <w:color w:val="7F7F7F"/>
      </w:rPr>
    </w:lvl>
    <w:lvl w:ilvl="5">
      <w:start w:val="1"/>
      <w:numFmt w:val="decimal"/>
      <w:pStyle w:val="Ttulo6"/>
      <w:lvlText w:val="%1.%2.%3.%4.%5.%6"/>
      <w:lvlJc w:val="left"/>
      <w:pPr>
        <w:ind w:left="-691" w:hanging="1152"/>
      </w:pPr>
    </w:lvl>
    <w:lvl w:ilvl="6">
      <w:start w:val="1"/>
      <w:numFmt w:val="decimal"/>
      <w:pStyle w:val="Ttulo7"/>
      <w:lvlText w:val="%1.%2.%3.%4.%5.%6.%7"/>
      <w:lvlJc w:val="left"/>
      <w:pPr>
        <w:ind w:left="-547" w:hanging="1296"/>
      </w:pPr>
    </w:lvl>
    <w:lvl w:ilvl="7">
      <w:start w:val="1"/>
      <w:numFmt w:val="decimal"/>
      <w:pStyle w:val="Ttulo8"/>
      <w:lvlText w:val="%1.%2.%3.%4.%5.%6.%7.%8"/>
      <w:lvlJc w:val="left"/>
      <w:pPr>
        <w:ind w:left="-403" w:hanging="1440"/>
      </w:pPr>
    </w:lvl>
    <w:lvl w:ilvl="8">
      <w:start w:val="1"/>
      <w:numFmt w:val="decimal"/>
      <w:pStyle w:val="Ttulo9"/>
      <w:lvlText w:val="%1.%2.%3.%4.%5.%6.%7.%8.%9"/>
      <w:lvlJc w:val="left"/>
      <w:pPr>
        <w:ind w:left="-259" w:hanging="1584"/>
      </w:pPr>
    </w:lvl>
  </w:abstractNum>
  <w:num w:numId="1" w16cid:durableId="1401630748">
    <w:abstractNumId w:val="6"/>
  </w:num>
  <w:num w:numId="2" w16cid:durableId="1281381412">
    <w:abstractNumId w:val="5"/>
  </w:num>
  <w:num w:numId="3" w16cid:durableId="701783635">
    <w:abstractNumId w:val="0"/>
  </w:num>
  <w:num w:numId="4" w16cid:durableId="1321422884">
    <w:abstractNumId w:val="8"/>
  </w:num>
  <w:num w:numId="5" w16cid:durableId="856428249">
    <w:abstractNumId w:val="2"/>
  </w:num>
  <w:num w:numId="6" w16cid:durableId="1455054292">
    <w:abstractNumId w:val="7"/>
  </w:num>
  <w:num w:numId="7" w16cid:durableId="1265072122">
    <w:abstractNumId w:val="4"/>
  </w:num>
  <w:num w:numId="8" w16cid:durableId="362676732">
    <w:abstractNumId w:val="1"/>
  </w:num>
  <w:num w:numId="9" w16cid:durableId="15943203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D4A"/>
    <w:rsid w:val="0000233B"/>
    <w:rsid w:val="00003B16"/>
    <w:rsid w:val="00004DC6"/>
    <w:rsid w:val="00023196"/>
    <w:rsid w:val="00023E77"/>
    <w:rsid w:val="000259D8"/>
    <w:rsid w:val="00034416"/>
    <w:rsid w:val="00037180"/>
    <w:rsid w:val="000372C3"/>
    <w:rsid w:val="00041F01"/>
    <w:rsid w:val="00041FFE"/>
    <w:rsid w:val="000515C8"/>
    <w:rsid w:val="000542A3"/>
    <w:rsid w:val="00057092"/>
    <w:rsid w:val="000760A3"/>
    <w:rsid w:val="000A25F1"/>
    <w:rsid w:val="000A38AA"/>
    <w:rsid w:val="000C12CA"/>
    <w:rsid w:val="000C3652"/>
    <w:rsid w:val="000C41B6"/>
    <w:rsid w:val="000C5E96"/>
    <w:rsid w:val="000E771B"/>
    <w:rsid w:val="001112E3"/>
    <w:rsid w:val="00123C97"/>
    <w:rsid w:val="001408A2"/>
    <w:rsid w:val="00144043"/>
    <w:rsid w:val="001560EC"/>
    <w:rsid w:val="0016226F"/>
    <w:rsid w:val="00165E75"/>
    <w:rsid w:val="00192B6A"/>
    <w:rsid w:val="001D5FB1"/>
    <w:rsid w:val="001D71D2"/>
    <w:rsid w:val="001E3B76"/>
    <w:rsid w:val="001E62FE"/>
    <w:rsid w:val="001E78E8"/>
    <w:rsid w:val="001F21BC"/>
    <w:rsid w:val="002001A4"/>
    <w:rsid w:val="00207F6B"/>
    <w:rsid w:val="00226E17"/>
    <w:rsid w:val="0022779C"/>
    <w:rsid w:val="00262D4E"/>
    <w:rsid w:val="00275523"/>
    <w:rsid w:val="00290B79"/>
    <w:rsid w:val="002A0908"/>
    <w:rsid w:val="002A236F"/>
    <w:rsid w:val="002A46F9"/>
    <w:rsid w:val="002A4C6E"/>
    <w:rsid w:val="002A796D"/>
    <w:rsid w:val="002B40EC"/>
    <w:rsid w:val="002B5C2C"/>
    <w:rsid w:val="002B7BB9"/>
    <w:rsid w:val="002E118D"/>
    <w:rsid w:val="00301EF9"/>
    <w:rsid w:val="00302442"/>
    <w:rsid w:val="00324F21"/>
    <w:rsid w:val="00342CFF"/>
    <w:rsid w:val="0034480E"/>
    <w:rsid w:val="0035069F"/>
    <w:rsid w:val="0035148E"/>
    <w:rsid w:val="00375909"/>
    <w:rsid w:val="00381795"/>
    <w:rsid w:val="00391493"/>
    <w:rsid w:val="003A1BD5"/>
    <w:rsid w:val="003A33FA"/>
    <w:rsid w:val="003C535D"/>
    <w:rsid w:val="003D1F5A"/>
    <w:rsid w:val="003D7A20"/>
    <w:rsid w:val="003E246B"/>
    <w:rsid w:val="003E5764"/>
    <w:rsid w:val="00403F40"/>
    <w:rsid w:val="00405F65"/>
    <w:rsid w:val="004102E7"/>
    <w:rsid w:val="00413804"/>
    <w:rsid w:val="0043535D"/>
    <w:rsid w:val="00441686"/>
    <w:rsid w:val="004451BC"/>
    <w:rsid w:val="004750AD"/>
    <w:rsid w:val="00482995"/>
    <w:rsid w:val="00486829"/>
    <w:rsid w:val="0049165A"/>
    <w:rsid w:val="004B1B55"/>
    <w:rsid w:val="004B3D3D"/>
    <w:rsid w:val="004C73CA"/>
    <w:rsid w:val="004D2FAB"/>
    <w:rsid w:val="004D7370"/>
    <w:rsid w:val="004E4E10"/>
    <w:rsid w:val="0050095C"/>
    <w:rsid w:val="00512C9C"/>
    <w:rsid w:val="00536D4A"/>
    <w:rsid w:val="0054690F"/>
    <w:rsid w:val="00554F83"/>
    <w:rsid w:val="005622E1"/>
    <w:rsid w:val="00562D29"/>
    <w:rsid w:val="005779B9"/>
    <w:rsid w:val="0058366E"/>
    <w:rsid w:val="0059317A"/>
    <w:rsid w:val="00597643"/>
    <w:rsid w:val="005977C2"/>
    <w:rsid w:val="005A2CD6"/>
    <w:rsid w:val="005B22D6"/>
    <w:rsid w:val="005C1897"/>
    <w:rsid w:val="005D0AF6"/>
    <w:rsid w:val="005D3DD2"/>
    <w:rsid w:val="00601695"/>
    <w:rsid w:val="006121F2"/>
    <w:rsid w:val="006142E7"/>
    <w:rsid w:val="00616597"/>
    <w:rsid w:val="00622D33"/>
    <w:rsid w:val="00661619"/>
    <w:rsid w:val="00661BA2"/>
    <w:rsid w:val="00663DDE"/>
    <w:rsid w:val="006667A9"/>
    <w:rsid w:val="006759CA"/>
    <w:rsid w:val="00684B1E"/>
    <w:rsid w:val="00687094"/>
    <w:rsid w:val="006939AA"/>
    <w:rsid w:val="006A039A"/>
    <w:rsid w:val="006A4E8D"/>
    <w:rsid w:val="006A4FC5"/>
    <w:rsid w:val="006D2F4E"/>
    <w:rsid w:val="006F1638"/>
    <w:rsid w:val="0070093D"/>
    <w:rsid w:val="00704B34"/>
    <w:rsid w:val="0074619F"/>
    <w:rsid w:val="00753D57"/>
    <w:rsid w:val="007621C2"/>
    <w:rsid w:val="00763C23"/>
    <w:rsid w:val="007755BC"/>
    <w:rsid w:val="00792443"/>
    <w:rsid w:val="00795197"/>
    <w:rsid w:val="007A4073"/>
    <w:rsid w:val="007B248B"/>
    <w:rsid w:val="007B617C"/>
    <w:rsid w:val="007B630B"/>
    <w:rsid w:val="007C68D7"/>
    <w:rsid w:val="007C7B26"/>
    <w:rsid w:val="007D1BA5"/>
    <w:rsid w:val="007D2E57"/>
    <w:rsid w:val="007E5FD1"/>
    <w:rsid w:val="008053C1"/>
    <w:rsid w:val="0080690D"/>
    <w:rsid w:val="00845D0A"/>
    <w:rsid w:val="0084750C"/>
    <w:rsid w:val="00860F25"/>
    <w:rsid w:val="00866BD5"/>
    <w:rsid w:val="008760A0"/>
    <w:rsid w:val="00877EBF"/>
    <w:rsid w:val="00880284"/>
    <w:rsid w:val="00890614"/>
    <w:rsid w:val="00890F36"/>
    <w:rsid w:val="00891F20"/>
    <w:rsid w:val="00896531"/>
    <w:rsid w:val="008A2AB0"/>
    <w:rsid w:val="008A57A5"/>
    <w:rsid w:val="008B5E05"/>
    <w:rsid w:val="008B65E8"/>
    <w:rsid w:val="008C2A7A"/>
    <w:rsid w:val="008C4942"/>
    <w:rsid w:val="008D0D4D"/>
    <w:rsid w:val="008D2314"/>
    <w:rsid w:val="008D5D34"/>
    <w:rsid w:val="008E64D6"/>
    <w:rsid w:val="008F1607"/>
    <w:rsid w:val="00904A33"/>
    <w:rsid w:val="00935E3C"/>
    <w:rsid w:val="00942595"/>
    <w:rsid w:val="00946DE6"/>
    <w:rsid w:val="00950879"/>
    <w:rsid w:val="00950D58"/>
    <w:rsid w:val="009759EE"/>
    <w:rsid w:val="00985824"/>
    <w:rsid w:val="00985FB3"/>
    <w:rsid w:val="00993DE7"/>
    <w:rsid w:val="009948B4"/>
    <w:rsid w:val="009B43AC"/>
    <w:rsid w:val="009B4AF4"/>
    <w:rsid w:val="009C2BE4"/>
    <w:rsid w:val="009C3F41"/>
    <w:rsid w:val="009C4DAC"/>
    <w:rsid w:val="009C61BA"/>
    <w:rsid w:val="009F46C4"/>
    <w:rsid w:val="009F5192"/>
    <w:rsid w:val="00A03064"/>
    <w:rsid w:val="00A11ABD"/>
    <w:rsid w:val="00A15D85"/>
    <w:rsid w:val="00A40D4C"/>
    <w:rsid w:val="00A642A3"/>
    <w:rsid w:val="00A6472D"/>
    <w:rsid w:val="00A77864"/>
    <w:rsid w:val="00AA7A01"/>
    <w:rsid w:val="00AB0CAE"/>
    <w:rsid w:val="00AB4A6C"/>
    <w:rsid w:val="00AC3894"/>
    <w:rsid w:val="00AD4765"/>
    <w:rsid w:val="00AE289B"/>
    <w:rsid w:val="00AE7EA4"/>
    <w:rsid w:val="00AF0575"/>
    <w:rsid w:val="00AF13BD"/>
    <w:rsid w:val="00AF5278"/>
    <w:rsid w:val="00B04735"/>
    <w:rsid w:val="00B16F37"/>
    <w:rsid w:val="00B21DD0"/>
    <w:rsid w:val="00B2266F"/>
    <w:rsid w:val="00B25A2F"/>
    <w:rsid w:val="00B34220"/>
    <w:rsid w:val="00B361EA"/>
    <w:rsid w:val="00B40398"/>
    <w:rsid w:val="00B53D63"/>
    <w:rsid w:val="00B83EF2"/>
    <w:rsid w:val="00B86024"/>
    <w:rsid w:val="00B8729C"/>
    <w:rsid w:val="00B87A59"/>
    <w:rsid w:val="00B93871"/>
    <w:rsid w:val="00BA2841"/>
    <w:rsid w:val="00BB197A"/>
    <w:rsid w:val="00BB51E2"/>
    <w:rsid w:val="00BF36BB"/>
    <w:rsid w:val="00C11431"/>
    <w:rsid w:val="00C14268"/>
    <w:rsid w:val="00C1430A"/>
    <w:rsid w:val="00C23AC2"/>
    <w:rsid w:val="00C30547"/>
    <w:rsid w:val="00C3445C"/>
    <w:rsid w:val="00C52AE3"/>
    <w:rsid w:val="00C74CDF"/>
    <w:rsid w:val="00C77FD9"/>
    <w:rsid w:val="00C900FE"/>
    <w:rsid w:val="00C94CCF"/>
    <w:rsid w:val="00C969D2"/>
    <w:rsid w:val="00CA648C"/>
    <w:rsid w:val="00CB3C6B"/>
    <w:rsid w:val="00CC1013"/>
    <w:rsid w:val="00CD0044"/>
    <w:rsid w:val="00CE01AD"/>
    <w:rsid w:val="00CE25FD"/>
    <w:rsid w:val="00D101B2"/>
    <w:rsid w:val="00D20229"/>
    <w:rsid w:val="00D20293"/>
    <w:rsid w:val="00D27A8B"/>
    <w:rsid w:val="00D31CD2"/>
    <w:rsid w:val="00D537E7"/>
    <w:rsid w:val="00D57BD7"/>
    <w:rsid w:val="00D67A2A"/>
    <w:rsid w:val="00D70038"/>
    <w:rsid w:val="00D72704"/>
    <w:rsid w:val="00D83CF6"/>
    <w:rsid w:val="00DB28C5"/>
    <w:rsid w:val="00DC1686"/>
    <w:rsid w:val="00DC25E6"/>
    <w:rsid w:val="00DC701A"/>
    <w:rsid w:val="00DE2717"/>
    <w:rsid w:val="00E16608"/>
    <w:rsid w:val="00E21244"/>
    <w:rsid w:val="00E23DF6"/>
    <w:rsid w:val="00E27631"/>
    <w:rsid w:val="00E35403"/>
    <w:rsid w:val="00E36967"/>
    <w:rsid w:val="00E505D6"/>
    <w:rsid w:val="00E731E3"/>
    <w:rsid w:val="00E96C6C"/>
    <w:rsid w:val="00EB2519"/>
    <w:rsid w:val="00EE316B"/>
    <w:rsid w:val="00F22529"/>
    <w:rsid w:val="00F24F61"/>
    <w:rsid w:val="00F4407A"/>
    <w:rsid w:val="00F452ED"/>
    <w:rsid w:val="00F4687A"/>
    <w:rsid w:val="00F52874"/>
    <w:rsid w:val="00F52CD5"/>
    <w:rsid w:val="00F53B93"/>
    <w:rsid w:val="00F57DB3"/>
    <w:rsid w:val="00F97F39"/>
    <w:rsid w:val="00FB721A"/>
    <w:rsid w:val="00FC471B"/>
    <w:rsid w:val="00FF2E3D"/>
    <w:rsid w:val="00FF48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4C66D"/>
  <w15:chartTrackingRefBased/>
  <w15:docId w15:val="{C0E07F23-2BF3-49E3-8D57-AF589830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aliases w:val="título 1,H1,Título 11,h1,1,Header 1,II+,I,H11,h11,11,Header 11,II+1,I1,H12,h12,12,Header 12,II+2,I2,H13,h13,13,Header 13,II+3,I3,H14,h14,14,Header 14,II+4,I4,H15,h15,15,Header 15,II+5,I5,H16,h16,16,Header 16,II+6,I6,H17,h17,17,Header 17,II+7,I7"/>
    <w:basedOn w:val="Normal"/>
    <w:next w:val="Normal"/>
    <w:link w:val="Ttulo1Car"/>
    <w:uiPriority w:val="9"/>
    <w:qFormat/>
    <w:rsid w:val="00A642A3"/>
    <w:pPr>
      <w:keepNext/>
      <w:keepLines/>
      <w:numPr>
        <w:numId w:val="4"/>
      </w:numPr>
      <w:spacing w:before="200" w:after="240" w:line="300" w:lineRule="auto"/>
      <w:jc w:val="both"/>
      <w:outlineLvl w:val="0"/>
    </w:pPr>
    <w:rPr>
      <w:rFonts w:ascii="Arial" w:eastAsia="Times New Roman" w:hAnsi="Arial"/>
      <w:bCs/>
      <w:color w:val="0D4582"/>
      <w:sz w:val="32"/>
      <w:szCs w:val="28"/>
    </w:rPr>
  </w:style>
  <w:style w:type="paragraph" w:styleId="Ttulo2">
    <w:name w:val="heading 2"/>
    <w:aliases w:val="h2,2,H21,H22,Arial 12 Fett Kursiv,A,A.B.C.,21,H23,H211,H221,h21,22,Header 21,A1,A.B.C.1,211,H24,H212,H222,h22,Header 22,A2,A.B.C.2,H25,H213,H223,h23,23,Header 23,A3,A.B.C.3,H26,H214,H224,h24,24,Header 24,A4,A.B.C.4,H27,H215,H225,h25,25,A5,2m,h"/>
    <w:basedOn w:val="Normal"/>
    <w:next w:val="Normal"/>
    <w:link w:val="Ttulo2Car"/>
    <w:uiPriority w:val="9"/>
    <w:unhideWhenUsed/>
    <w:qFormat/>
    <w:rsid w:val="00A642A3"/>
    <w:pPr>
      <w:keepNext/>
      <w:keepLines/>
      <w:numPr>
        <w:ilvl w:val="1"/>
        <w:numId w:val="4"/>
      </w:numPr>
      <w:spacing w:before="200" w:line="300" w:lineRule="auto"/>
      <w:jc w:val="both"/>
      <w:outlineLvl w:val="1"/>
    </w:pPr>
    <w:rPr>
      <w:rFonts w:ascii="Arial" w:eastAsia="Times New Roman" w:hAnsi="Arial"/>
      <w:b/>
      <w:bCs/>
      <w:color w:val="808080"/>
      <w:sz w:val="28"/>
      <w:szCs w:val="26"/>
    </w:rPr>
  </w:style>
  <w:style w:type="paragraph" w:styleId="Ttulo3">
    <w:name w:val="heading 3"/>
    <w:aliases w:val="H3,H31,H32,h3,3,H3-Heading 3,l3.3,l3,título 3,Nivel X.X.1,Level 3 Topic Heading,Bullet 1°,Paragraph Heading,Level 1 - 1,CT,list 3,list3,heading 3,Section,H3-Heading 31,31,l3.31,h31,l31,list 31,list31,heading 31,Section1,Heading3,ITT t3,T3,1.,3m"/>
    <w:basedOn w:val="Normal"/>
    <w:next w:val="Normal"/>
    <w:link w:val="Ttulo3Car"/>
    <w:uiPriority w:val="9"/>
    <w:unhideWhenUsed/>
    <w:qFormat/>
    <w:rsid w:val="00A642A3"/>
    <w:pPr>
      <w:keepNext/>
      <w:keepLines/>
      <w:numPr>
        <w:ilvl w:val="2"/>
        <w:numId w:val="4"/>
      </w:numPr>
      <w:spacing w:before="200" w:line="300" w:lineRule="auto"/>
      <w:jc w:val="both"/>
      <w:outlineLvl w:val="2"/>
    </w:pPr>
    <w:rPr>
      <w:rFonts w:ascii="Arial" w:eastAsia="Times New Roman" w:hAnsi="Arial"/>
      <w:b/>
      <w:bCs/>
      <w:color w:val="808080"/>
      <w:sz w:val="24"/>
    </w:rPr>
  </w:style>
  <w:style w:type="paragraph" w:styleId="Ttulo4">
    <w:name w:val="heading 4"/>
    <w:aliases w:val="H4,h4,a.,4,4m,MOVE-it 4,Head 4,Heading4,bullet,bl,bb,MOVE-it 41,h41,C Head,C Head1,C Head2,h42,C Head3,h43,C Head4,h44,C Head5,h45,C Head6,h46,C Head7,h47,C Head8,h48,C Head9,h49,C Head11,h411,C Head10,h410,MOVE-it 42,MOVE-it 411,C Head12,h412"/>
    <w:basedOn w:val="Normal"/>
    <w:next w:val="Normal"/>
    <w:link w:val="Ttulo4Car"/>
    <w:uiPriority w:val="9"/>
    <w:unhideWhenUsed/>
    <w:qFormat/>
    <w:rsid w:val="00A642A3"/>
    <w:pPr>
      <w:keepNext/>
      <w:keepLines/>
      <w:numPr>
        <w:ilvl w:val="3"/>
        <w:numId w:val="4"/>
      </w:numPr>
      <w:spacing w:before="200" w:after="0" w:line="300" w:lineRule="auto"/>
      <w:jc w:val="both"/>
      <w:outlineLvl w:val="3"/>
    </w:pPr>
    <w:rPr>
      <w:rFonts w:ascii="Arial" w:eastAsia="Times New Roman" w:hAnsi="Arial"/>
      <w:b/>
      <w:bCs/>
      <w:iCs/>
      <w:color w:val="808080"/>
      <w:sz w:val="24"/>
    </w:rPr>
  </w:style>
  <w:style w:type="paragraph" w:styleId="Ttulo5">
    <w:name w:val="heading 5"/>
    <w:aliases w:val="dash,ds,dd,MOVE-it 5,Roman list,Roman list1,Roman list2,Roman list11,Roman list3,Roman list12,Roman list21,Roman list111,MOVE-it 51,h5,5m,Head 5,D Head,D Head1,D Head2,D Head3,D Head4,D Head5,D Head6,D Head7,D Head8,D Head9,D Head11,D Head10,sb"/>
    <w:basedOn w:val="Normal"/>
    <w:next w:val="Normal"/>
    <w:link w:val="Ttulo5Car"/>
    <w:uiPriority w:val="9"/>
    <w:qFormat/>
    <w:rsid w:val="00A642A3"/>
    <w:pPr>
      <w:numPr>
        <w:ilvl w:val="4"/>
        <w:numId w:val="4"/>
      </w:numPr>
      <w:spacing w:before="120" w:after="120" w:line="240" w:lineRule="auto"/>
      <w:contextualSpacing/>
      <w:jc w:val="both"/>
      <w:outlineLvl w:val="4"/>
    </w:pPr>
    <w:rPr>
      <w:rFonts w:ascii="Arial" w:eastAsia="PMingLiU" w:hAnsi="Arial"/>
      <w:b/>
      <w:bCs/>
      <w:iCs/>
      <w:sz w:val="20"/>
      <w:szCs w:val="26"/>
      <w:lang w:val="x-none" w:eastAsia="zh-TW"/>
    </w:rPr>
  </w:style>
  <w:style w:type="paragraph" w:styleId="Ttulo6">
    <w:name w:val="heading 6"/>
    <w:aliases w:val="TOC,Bullet list,Bullet list1,Bullet list2,Bullet list11,Bullet list3,Bullet list12,Bullet list21,Bullet list111,Bullet lis,sub-dash,sd,5,Legal Level 1.,cnp,Caption number (page-wide),h6,Margin Note,6,Nota,tit-01,ASAPHeading 6,Car"/>
    <w:basedOn w:val="Normal"/>
    <w:next w:val="Normal"/>
    <w:link w:val="Ttulo6Car"/>
    <w:uiPriority w:val="9"/>
    <w:qFormat/>
    <w:rsid w:val="00A642A3"/>
    <w:pPr>
      <w:numPr>
        <w:ilvl w:val="5"/>
        <w:numId w:val="4"/>
      </w:numPr>
      <w:spacing w:before="240" w:after="80" w:line="288" w:lineRule="auto"/>
      <w:jc w:val="both"/>
      <w:outlineLvl w:val="5"/>
    </w:pPr>
    <w:rPr>
      <w:rFonts w:ascii="Arial" w:eastAsia="PMingLiU" w:hAnsi="Arial"/>
      <w:b/>
      <w:bCs/>
      <w:sz w:val="20"/>
      <w:szCs w:val="20"/>
      <w:lang w:val="x-none" w:eastAsia="zh-TW"/>
    </w:rPr>
  </w:style>
  <w:style w:type="paragraph" w:styleId="Ttulo7">
    <w:name w:val="heading 7"/>
    <w:aliases w:val="L7,letter list,lettered list,letter list1,lettered list1,letter list2,lettered list2,letter list11,lettered list11,letter list3,lettered list3,letter list12,lettered list12,letter list21,lettered list21,letter list111,lettered list111,cnc,st,h7"/>
    <w:basedOn w:val="Normal"/>
    <w:next w:val="Normal"/>
    <w:link w:val="Ttulo7Car"/>
    <w:uiPriority w:val="9"/>
    <w:qFormat/>
    <w:rsid w:val="00A642A3"/>
    <w:pPr>
      <w:numPr>
        <w:ilvl w:val="6"/>
        <w:numId w:val="4"/>
      </w:numPr>
      <w:spacing w:before="240" w:after="80" w:line="288" w:lineRule="auto"/>
      <w:jc w:val="both"/>
      <w:outlineLvl w:val="6"/>
    </w:pPr>
    <w:rPr>
      <w:rFonts w:ascii="Arial" w:eastAsia="PMingLiU" w:hAnsi="Arial"/>
      <w:sz w:val="20"/>
      <w:szCs w:val="24"/>
      <w:lang w:val="x-none" w:eastAsia="zh-TW"/>
    </w:rPr>
  </w:style>
  <w:style w:type="paragraph" w:styleId="Ttulo8">
    <w:name w:val="heading 8"/>
    <w:aliases w:val="Legal Level 1.1.1.,Legal Level 1.1.1.1,tagline,ctp,Caption text (page-wide),tt,Center Bold,Título 8 Car1,Título 8 Car Car,Título 8 Car3,Título 8 Car2 Car,Título 8 Car1 Car Car,Título 8 Car Car Car Car,Título 8 Car Car1 Car,Título 8 Car1 Ca,acti"/>
    <w:basedOn w:val="Normal"/>
    <w:next w:val="Normal"/>
    <w:link w:val="Ttulo8Car"/>
    <w:uiPriority w:val="9"/>
    <w:qFormat/>
    <w:rsid w:val="00A642A3"/>
    <w:pPr>
      <w:numPr>
        <w:ilvl w:val="7"/>
        <w:numId w:val="4"/>
      </w:numPr>
      <w:spacing w:before="240" w:after="80" w:line="288" w:lineRule="auto"/>
      <w:jc w:val="both"/>
      <w:outlineLvl w:val="7"/>
    </w:pPr>
    <w:rPr>
      <w:rFonts w:ascii="Arial" w:eastAsia="PMingLiU" w:hAnsi="Arial"/>
      <w:i/>
      <w:iCs/>
      <w:sz w:val="20"/>
      <w:szCs w:val="24"/>
      <w:lang w:val="x-none" w:eastAsia="zh-TW"/>
    </w:rPr>
  </w:style>
  <w:style w:type="paragraph" w:styleId="Ttulo9">
    <w:name w:val="heading 9"/>
    <w:aliases w:val="App Heading,Legal Level 1.1.1.1.,Legal Level 1.1.1.1.1,ctc,Caption text (column-wide),ft,Título 9 Car1,Título 9 Car Car,Título 9 Car3,Título 9 Car2 Car,Título 9 Car1 Car Car,Título 9 Car Car Car Car,Título 9 Car Car1 Car, progress,progress"/>
    <w:basedOn w:val="Normal"/>
    <w:next w:val="Normal"/>
    <w:link w:val="Ttulo9Car"/>
    <w:uiPriority w:val="9"/>
    <w:qFormat/>
    <w:rsid w:val="00A642A3"/>
    <w:pPr>
      <w:numPr>
        <w:ilvl w:val="8"/>
        <w:numId w:val="4"/>
      </w:numPr>
      <w:spacing w:before="240" w:after="80" w:line="288" w:lineRule="auto"/>
      <w:jc w:val="both"/>
      <w:outlineLvl w:val="8"/>
    </w:pPr>
    <w:rPr>
      <w:rFonts w:ascii="Arial" w:eastAsia="PMingLiU" w:hAnsi="Arial"/>
      <w:sz w:val="20"/>
      <w:szCs w:val="20"/>
      <w:lang w:val="x-none" w:eastAsia="zh-T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36D4A"/>
    <w:pPr>
      <w:tabs>
        <w:tab w:val="center" w:pos="4419"/>
        <w:tab w:val="right" w:pos="8838"/>
      </w:tabs>
    </w:pPr>
  </w:style>
  <w:style w:type="character" w:customStyle="1" w:styleId="EncabezadoCar">
    <w:name w:val="Encabezado Car"/>
    <w:link w:val="Encabezado"/>
    <w:uiPriority w:val="99"/>
    <w:rsid w:val="00536D4A"/>
    <w:rPr>
      <w:sz w:val="22"/>
      <w:szCs w:val="22"/>
      <w:lang w:eastAsia="en-US"/>
    </w:rPr>
  </w:style>
  <w:style w:type="paragraph" w:styleId="Piedepgina">
    <w:name w:val="footer"/>
    <w:basedOn w:val="Normal"/>
    <w:link w:val="PiedepginaCar"/>
    <w:uiPriority w:val="99"/>
    <w:unhideWhenUsed/>
    <w:rsid w:val="00536D4A"/>
    <w:pPr>
      <w:tabs>
        <w:tab w:val="center" w:pos="4419"/>
        <w:tab w:val="right" w:pos="8838"/>
      </w:tabs>
    </w:pPr>
  </w:style>
  <w:style w:type="character" w:customStyle="1" w:styleId="PiedepginaCar">
    <w:name w:val="Pie de página Car"/>
    <w:link w:val="Piedepgina"/>
    <w:uiPriority w:val="99"/>
    <w:rsid w:val="00536D4A"/>
    <w:rPr>
      <w:sz w:val="22"/>
      <w:szCs w:val="22"/>
      <w:lang w:eastAsia="en-US"/>
    </w:rPr>
  </w:style>
  <w:style w:type="paragraph" w:styleId="Textodeglobo">
    <w:name w:val="Balloon Text"/>
    <w:basedOn w:val="Normal"/>
    <w:link w:val="TextodegloboCar"/>
    <w:uiPriority w:val="99"/>
    <w:semiHidden/>
    <w:unhideWhenUsed/>
    <w:rsid w:val="0084750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4750C"/>
    <w:rPr>
      <w:rFonts w:ascii="Tahoma" w:hAnsi="Tahoma" w:cs="Tahoma"/>
      <w:sz w:val="16"/>
      <w:szCs w:val="16"/>
      <w:lang w:eastAsia="en-US"/>
    </w:rPr>
  </w:style>
  <w:style w:type="paragraph" w:styleId="Textonotaalfinal">
    <w:name w:val="endnote text"/>
    <w:basedOn w:val="Normal"/>
    <w:link w:val="TextonotaalfinalCar"/>
    <w:uiPriority w:val="99"/>
    <w:semiHidden/>
    <w:unhideWhenUsed/>
    <w:rsid w:val="005779B9"/>
    <w:rPr>
      <w:sz w:val="20"/>
      <w:szCs w:val="20"/>
    </w:rPr>
  </w:style>
  <w:style w:type="character" w:customStyle="1" w:styleId="TextonotaalfinalCar">
    <w:name w:val="Texto nota al final Car"/>
    <w:link w:val="Textonotaalfinal"/>
    <w:uiPriority w:val="99"/>
    <w:semiHidden/>
    <w:rsid w:val="005779B9"/>
    <w:rPr>
      <w:lang w:eastAsia="en-US"/>
    </w:rPr>
  </w:style>
  <w:style w:type="character" w:styleId="Refdenotaalfinal">
    <w:name w:val="endnote reference"/>
    <w:uiPriority w:val="99"/>
    <w:semiHidden/>
    <w:unhideWhenUsed/>
    <w:rsid w:val="005779B9"/>
    <w:rPr>
      <w:vertAlign w:val="superscript"/>
    </w:rPr>
  </w:style>
  <w:style w:type="paragraph" w:styleId="Textonotapie">
    <w:name w:val="footnote text"/>
    <w:basedOn w:val="Normal"/>
    <w:link w:val="TextonotapieCar"/>
    <w:uiPriority w:val="99"/>
    <w:semiHidden/>
    <w:unhideWhenUsed/>
    <w:rsid w:val="005779B9"/>
    <w:rPr>
      <w:sz w:val="20"/>
      <w:szCs w:val="20"/>
    </w:rPr>
  </w:style>
  <w:style w:type="character" w:customStyle="1" w:styleId="TextonotapieCar">
    <w:name w:val="Texto nota pie Car"/>
    <w:link w:val="Textonotapie"/>
    <w:uiPriority w:val="99"/>
    <w:semiHidden/>
    <w:rsid w:val="005779B9"/>
    <w:rPr>
      <w:lang w:eastAsia="en-US"/>
    </w:rPr>
  </w:style>
  <w:style w:type="character" w:styleId="Refdenotaalpie">
    <w:name w:val="footnote reference"/>
    <w:uiPriority w:val="99"/>
    <w:semiHidden/>
    <w:unhideWhenUsed/>
    <w:rsid w:val="005779B9"/>
    <w:rPr>
      <w:vertAlign w:val="superscript"/>
    </w:rPr>
  </w:style>
  <w:style w:type="character" w:styleId="Refdecomentario">
    <w:name w:val="annotation reference"/>
    <w:uiPriority w:val="99"/>
    <w:semiHidden/>
    <w:unhideWhenUsed/>
    <w:rsid w:val="00486829"/>
    <w:rPr>
      <w:sz w:val="16"/>
      <w:szCs w:val="16"/>
    </w:rPr>
  </w:style>
  <w:style w:type="paragraph" w:styleId="Textocomentario">
    <w:name w:val="annotation text"/>
    <w:basedOn w:val="Normal"/>
    <w:link w:val="TextocomentarioCar"/>
    <w:uiPriority w:val="99"/>
    <w:semiHidden/>
    <w:unhideWhenUsed/>
    <w:rsid w:val="00486829"/>
    <w:rPr>
      <w:sz w:val="20"/>
      <w:szCs w:val="20"/>
    </w:rPr>
  </w:style>
  <w:style w:type="character" w:customStyle="1" w:styleId="TextocomentarioCar">
    <w:name w:val="Texto comentario Car"/>
    <w:link w:val="Textocomentario"/>
    <w:uiPriority w:val="99"/>
    <w:semiHidden/>
    <w:rsid w:val="00486829"/>
    <w:rPr>
      <w:lang w:eastAsia="en-US"/>
    </w:rPr>
  </w:style>
  <w:style w:type="paragraph" w:styleId="Asuntodelcomentario">
    <w:name w:val="annotation subject"/>
    <w:basedOn w:val="Textocomentario"/>
    <w:next w:val="Textocomentario"/>
    <w:link w:val="AsuntodelcomentarioCar"/>
    <w:uiPriority w:val="99"/>
    <w:semiHidden/>
    <w:unhideWhenUsed/>
    <w:rsid w:val="00486829"/>
    <w:rPr>
      <w:b/>
      <w:bCs/>
    </w:rPr>
  </w:style>
  <w:style w:type="character" w:customStyle="1" w:styleId="AsuntodelcomentarioCar">
    <w:name w:val="Asunto del comentario Car"/>
    <w:link w:val="Asuntodelcomentario"/>
    <w:uiPriority w:val="99"/>
    <w:semiHidden/>
    <w:rsid w:val="00486829"/>
    <w:rPr>
      <w:b/>
      <w:bCs/>
      <w:lang w:eastAsia="en-US"/>
    </w:rPr>
  </w:style>
  <w:style w:type="character" w:customStyle="1" w:styleId="Ttulo1Car">
    <w:name w:val="Título 1 Car"/>
    <w:aliases w:val="título 1 Car,H1 Car,Título 11 Car,h1 Car,1 Car,Header 1 Car,II+ Car,I Car,H11 Car,h11 Car,11 Car,Header 11 Car,II+1 Car,I1 Car,H12 Car,h12 Car,12 Car,Header 12 Car,II+2 Car,I2 Car,H13 Car,h13 Car,13 Car,Header 13 Car,II+3 Car,I3 Car,H14 Car"/>
    <w:link w:val="Ttulo1"/>
    <w:uiPriority w:val="9"/>
    <w:rsid w:val="00A642A3"/>
    <w:rPr>
      <w:rFonts w:ascii="Arial" w:eastAsia="Times New Roman" w:hAnsi="Arial"/>
      <w:bCs/>
      <w:color w:val="0D4582"/>
      <w:sz w:val="32"/>
      <w:szCs w:val="28"/>
      <w:lang w:eastAsia="en-US"/>
    </w:rPr>
  </w:style>
  <w:style w:type="character" w:customStyle="1" w:styleId="Ttulo2Car">
    <w:name w:val="Título 2 Car"/>
    <w:aliases w:val="h2 Car,2 Car,H21 Car,H22 Car,Arial 12 Fett Kursiv Car,A Car,A.B.C. Car,21 Car,H23 Car,H211 Car,H221 Car,h21 Car,22 Car,Header 21 Car,A1 Car,A.B.C.1 Car,211 Car,H24 Car,H212 Car,H222 Car,h22 Car,Header 22 Car,A2 Car,A.B.C.2 Car,H25 Car,h Car"/>
    <w:link w:val="Ttulo2"/>
    <w:uiPriority w:val="9"/>
    <w:rsid w:val="00A642A3"/>
    <w:rPr>
      <w:rFonts w:ascii="Arial" w:eastAsia="Times New Roman" w:hAnsi="Arial"/>
      <w:b/>
      <w:bCs/>
      <w:color w:val="808080"/>
      <w:sz w:val="28"/>
      <w:szCs w:val="26"/>
      <w:lang w:eastAsia="en-US"/>
    </w:rPr>
  </w:style>
  <w:style w:type="character" w:customStyle="1" w:styleId="Ttulo3Car">
    <w:name w:val="Título 3 Car"/>
    <w:aliases w:val="H3 Car,H31 Car,H32 Car,h3 Car,3 Car,H3-Heading 3 Car,l3.3 Car,l3 Car,título 3 Car,Nivel X.X.1 Car,Level 3 Topic Heading Car,Bullet 1° Car,Paragraph Heading Car,Level 1 - 1 Car,CT Car,list 3 Car,list3 Car,heading 3 Car,Section Car,31 Car"/>
    <w:link w:val="Ttulo3"/>
    <w:uiPriority w:val="9"/>
    <w:rsid w:val="00A642A3"/>
    <w:rPr>
      <w:rFonts w:ascii="Arial" w:eastAsia="Times New Roman" w:hAnsi="Arial"/>
      <w:b/>
      <w:bCs/>
      <w:color w:val="808080"/>
      <w:sz w:val="24"/>
      <w:szCs w:val="22"/>
      <w:lang w:eastAsia="en-US"/>
    </w:rPr>
  </w:style>
  <w:style w:type="character" w:customStyle="1" w:styleId="Ttulo4Car">
    <w:name w:val="Título 4 Car"/>
    <w:aliases w:val="H4 Car,h4 Car,a. Car,4 Car,4m Car,MOVE-it 4 Car,Head 4 Car,Heading4 Car,bullet Car,bl Car,bb Car,MOVE-it 41 Car,h41 Car,C Head Car,C Head1 Car,C Head2 Car,h42 Car,C Head3 Car,h43 Car,C Head4 Car,h44 Car,C Head5 Car,h45 Car,C Head6 Car"/>
    <w:link w:val="Ttulo4"/>
    <w:uiPriority w:val="9"/>
    <w:rsid w:val="00A642A3"/>
    <w:rPr>
      <w:rFonts w:ascii="Arial" w:eastAsia="Times New Roman" w:hAnsi="Arial"/>
      <w:b/>
      <w:bCs/>
      <w:iCs/>
      <w:color w:val="808080"/>
      <w:sz w:val="24"/>
      <w:szCs w:val="22"/>
      <w:lang w:eastAsia="en-US"/>
    </w:rPr>
  </w:style>
  <w:style w:type="character" w:customStyle="1" w:styleId="Ttulo5Car">
    <w:name w:val="Título 5 Car"/>
    <w:aliases w:val="dash Car,ds Car,dd Car,MOVE-it 5 Car,Roman list Car,Roman list1 Car,Roman list2 Car,Roman list11 Car,Roman list3 Car,Roman list12 Car,Roman list21 Car,Roman list111 Car,MOVE-it 51 Car,h5 Car,5m Car,Head 5 Car,D Head Car,D Head1 Car,sb Car"/>
    <w:link w:val="Ttulo5"/>
    <w:uiPriority w:val="9"/>
    <w:rsid w:val="00A642A3"/>
    <w:rPr>
      <w:rFonts w:ascii="Arial" w:eastAsia="PMingLiU" w:hAnsi="Arial"/>
      <w:b/>
      <w:bCs/>
      <w:iCs/>
      <w:szCs w:val="26"/>
      <w:lang w:val="x-none" w:eastAsia="zh-TW"/>
    </w:rPr>
  </w:style>
  <w:style w:type="character" w:customStyle="1" w:styleId="Ttulo6Car">
    <w:name w:val="Título 6 Car"/>
    <w:aliases w:val="TOC Car,Bullet list Car,Bullet list1 Car,Bullet list2 Car,Bullet list11 Car,Bullet list3 Car,Bullet list12 Car,Bullet list21 Car,Bullet list111 Car,Bullet lis Car,sub-dash Car,sd Car,5 Car,Legal Level 1. Car,cnp Car,h6 Car,Margin Note Car"/>
    <w:link w:val="Ttulo6"/>
    <w:uiPriority w:val="9"/>
    <w:rsid w:val="00A642A3"/>
    <w:rPr>
      <w:rFonts w:ascii="Arial" w:eastAsia="PMingLiU" w:hAnsi="Arial"/>
      <w:b/>
      <w:bCs/>
      <w:lang w:val="x-none" w:eastAsia="zh-TW"/>
    </w:rPr>
  </w:style>
  <w:style w:type="character" w:customStyle="1" w:styleId="Ttulo7Car">
    <w:name w:val="Título 7 Car"/>
    <w:aliases w:val="L7 Car,letter list Car,lettered list Car,letter list1 Car,lettered list1 Car,letter list2 Car,lettered list2 Car,letter list11 Car,lettered list11 Car,letter list3 Car,lettered list3 Car,letter list12 Car,lettered list12 Car,cnc Car,st Car"/>
    <w:link w:val="Ttulo7"/>
    <w:uiPriority w:val="9"/>
    <w:rsid w:val="00A642A3"/>
    <w:rPr>
      <w:rFonts w:ascii="Arial" w:eastAsia="PMingLiU" w:hAnsi="Arial"/>
      <w:szCs w:val="24"/>
      <w:lang w:val="x-none" w:eastAsia="zh-TW"/>
    </w:rPr>
  </w:style>
  <w:style w:type="character" w:customStyle="1" w:styleId="Ttulo8Car">
    <w:name w:val="Título 8 Car"/>
    <w:aliases w:val="Legal Level 1.1.1. Car,Legal Level 1.1.1.1 Car,tagline Car,ctp Car,Caption text (page-wide) Car,tt Car,Center Bold Car,Título 8 Car1 Car,Título 8 Car Car Car,Título 8 Car3 Car,Título 8 Car2 Car Car,Título 8 Car1 Car Car Car,acti Car"/>
    <w:link w:val="Ttulo8"/>
    <w:uiPriority w:val="9"/>
    <w:rsid w:val="00A642A3"/>
    <w:rPr>
      <w:rFonts w:ascii="Arial" w:eastAsia="PMingLiU" w:hAnsi="Arial"/>
      <w:i/>
      <w:iCs/>
      <w:szCs w:val="24"/>
      <w:lang w:val="x-none" w:eastAsia="zh-TW"/>
    </w:rPr>
  </w:style>
  <w:style w:type="character" w:customStyle="1" w:styleId="Ttulo9Car">
    <w:name w:val="Título 9 Car"/>
    <w:aliases w:val="App Heading Car,Legal Level 1.1.1.1. Car,Legal Level 1.1.1.1.1 Car,ctc Car,Caption text (column-wide) Car,ft Car,Título 9 Car1 Car,Título 9 Car Car Car,Título 9 Car3 Car,Título 9 Car2 Car Car,Título 9 Car1 Car Car Car, progress Car"/>
    <w:link w:val="Ttulo9"/>
    <w:uiPriority w:val="9"/>
    <w:rsid w:val="00A642A3"/>
    <w:rPr>
      <w:rFonts w:ascii="Arial" w:eastAsia="PMingLiU" w:hAnsi="Arial"/>
      <w:lang w:val="x-none" w:eastAsia="zh-TW"/>
    </w:rPr>
  </w:style>
  <w:style w:type="table" w:styleId="Tablaconcuadrcula">
    <w:name w:val="Table Grid"/>
    <w:basedOn w:val="Tablanormal"/>
    <w:uiPriority w:val="59"/>
    <w:rsid w:val="00301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4038">
      <w:bodyDiv w:val="1"/>
      <w:marLeft w:val="0"/>
      <w:marRight w:val="0"/>
      <w:marTop w:val="0"/>
      <w:marBottom w:val="0"/>
      <w:divBdr>
        <w:top w:val="none" w:sz="0" w:space="0" w:color="auto"/>
        <w:left w:val="none" w:sz="0" w:space="0" w:color="auto"/>
        <w:bottom w:val="none" w:sz="0" w:space="0" w:color="auto"/>
        <w:right w:val="none" w:sz="0" w:space="0" w:color="auto"/>
      </w:divBdr>
    </w:div>
    <w:div w:id="57284689">
      <w:bodyDiv w:val="1"/>
      <w:marLeft w:val="0"/>
      <w:marRight w:val="0"/>
      <w:marTop w:val="0"/>
      <w:marBottom w:val="0"/>
      <w:divBdr>
        <w:top w:val="none" w:sz="0" w:space="0" w:color="auto"/>
        <w:left w:val="none" w:sz="0" w:space="0" w:color="auto"/>
        <w:bottom w:val="none" w:sz="0" w:space="0" w:color="auto"/>
        <w:right w:val="none" w:sz="0" w:space="0" w:color="auto"/>
      </w:divBdr>
    </w:div>
    <w:div w:id="78604503">
      <w:bodyDiv w:val="1"/>
      <w:marLeft w:val="0"/>
      <w:marRight w:val="0"/>
      <w:marTop w:val="0"/>
      <w:marBottom w:val="0"/>
      <w:divBdr>
        <w:top w:val="none" w:sz="0" w:space="0" w:color="auto"/>
        <w:left w:val="none" w:sz="0" w:space="0" w:color="auto"/>
        <w:bottom w:val="none" w:sz="0" w:space="0" w:color="auto"/>
        <w:right w:val="none" w:sz="0" w:space="0" w:color="auto"/>
      </w:divBdr>
    </w:div>
    <w:div w:id="104815139">
      <w:bodyDiv w:val="1"/>
      <w:marLeft w:val="0"/>
      <w:marRight w:val="0"/>
      <w:marTop w:val="0"/>
      <w:marBottom w:val="0"/>
      <w:divBdr>
        <w:top w:val="none" w:sz="0" w:space="0" w:color="auto"/>
        <w:left w:val="none" w:sz="0" w:space="0" w:color="auto"/>
        <w:bottom w:val="none" w:sz="0" w:space="0" w:color="auto"/>
        <w:right w:val="none" w:sz="0" w:space="0" w:color="auto"/>
      </w:divBdr>
    </w:div>
    <w:div w:id="106513116">
      <w:bodyDiv w:val="1"/>
      <w:marLeft w:val="0"/>
      <w:marRight w:val="0"/>
      <w:marTop w:val="0"/>
      <w:marBottom w:val="0"/>
      <w:divBdr>
        <w:top w:val="none" w:sz="0" w:space="0" w:color="auto"/>
        <w:left w:val="none" w:sz="0" w:space="0" w:color="auto"/>
        <w:bottom w:val="none" w:sz="0" w:space="0" w:color="auto"/>
        <w:right w:val="none" w:sz="0" w:space="0" w:color="auto"/>
      </w:divBdr>
    </w:div>
    <w:div w:id="167717196">
      <w:bodyDiv w:val="1"/>
      <w:marLeft w:val="0"/>
      <w:marRight w:val="0"/>
      <w:marTop w:val="0"/>
      <w:marBottom w:val="0"/>
      <w:divBdr>
        <w:top w:val="none" w:sz="0" w:space="0" w:color="auto"/>
        <w:left w:val="none" w:sz="0" w:space="0" w:color="auto"/>
        <w:bottom w:val="none" w:sz="0" w:space="0" w:color="auto"/>
        <w:right w:val="none" w:sz="0" w:space="0" w:color="auto"/>
      </w:divBdr>
    </w:div>
    <w:div w:id="184948613">
      <w:bodyDiv w:val="1"/>
      <w:marLeft w:val="0"/>
      <w:marRight w:val="0"/>
      <w:marTop w:val="0"/>
      <w:marBottom w:val="0"/>
      <w:divBdr>
        <w:top w:val="none" w:sz="0" w:space="0" w:color="auto"/>
        <w:left w:val="none" w:sz="0" w:space="0" w:color="auto"/>
        <w:bottom w:val="none" w:sz="0" w:space="0" w:color="auto"/>
        <w:right w:val="none" w:sz="0" w:space="0" w:color="auto"/>
      </w:divBdr>
    </w:div>
    <w:div w:id="236089874">
      <w:bodyDiv w:val="1"/>
      <w:marLeft w:val="0"/>
      <w:marRight w:val="0"/>
      <w:marTop w:val="0"/>
      <w:marBottom w:val="0"/>
      <w:divBdr>
        <w:top w:val="none" w:sz="0" w:space="0" w:color="auto"/>
        <w:left w:val="none" w:sz="0" w:space="0" w:color="auto"/>
        <w:bottom w:val="none" w:sz="0" w:space="0" w:color="auto"/>
        <w:right w:val="none" w:sz="0" w:space="0" w:color="auto"/>
      </w:divBdr>
    </w:div>
    <w:div w:id="273024295">
      <w:bodyDiv w:val="1"/>
      <w:marLeft w:val="0"/>
      <w:marRight w:val="0"/>
      <w:marTop w:val="0"/>
      <w:marBottom w:val="0"/>
      <w:divBdr>
        <w:top w:val="none" w:sz="0" w:space="0" w:color="auto"/>
        <w:left w:val="none" w:sz="0" w:space="0" w:color="auto"/>
        <w:bottom w:val="none" w:sz="0" w:space="0" w:color="auto"/>
        <w:right w:val="none" w:sz="0" w:space="0" w:color="auto"/>
      </w:divBdr>
    </w:div>
    <w:div w:id="283736193">
      <w:bodyDiv w:val="1"/>
      <w:marLeft w:val="0"/>
      <w:marRight w:val="0"/>
      <w:marTop w:val="0"/>
      <w:marBottom w:val="0"/>
      <w:divBdr>
        <w:top w:val="none" w:sz="0" w:space="0" w:color="auto"/>
        <w:left w:val="none" w:sz="0" w:space="0" w:color="auto"/>
        <w:bottom w:val="none" w:sz="0" w:space="0" w:color="auto"/>
        <w:right w:val="none" w:sz="0" w:space="0" w:color="auto"/>
      </w:divBdr>
    </w:div>
    <w:div w:id="302808384">
      <w:bodyDiv w:val="1"/>
      <w:marLeft w:val="0"/>
      <w:marRight w:val="0"/>
      <w:marTop w:val="0"/>
      <w:marBottom w:val="0"/>
      <w:divBdr>
        <w:top w:val="none" w:sz="0" w:space="0" w:color="auto"/>
        <w:left w:val="none" w:sz="0" w:space="0" w:color="auto"/>
        <w:bottom w:val="none" w:sz="0" w:space="0" w:color="auto"/>
        <w:right w:val="none" w:sz="0" w:space="0" w:color="auto"/>
      </w:divBdr>
    </w:div>
    <w:div w:id="303046256">
      <w:bodyDiv w:val="1"/>
      <w:marLeft w:val="0"/>
      <w:marRight w:val="0"/>
      <w:marTop w:val="0"/>
      <w:marBottom w:val="0"/>
      <w:divBdr>
        <w:top w:val="none" w:sz="0" w:space="0" w:color="auto"/>
        <w:left w:val="none" w:sz="0" w:space="0" w:color="auto"/>
        <w:bottom w:val="none" w:sz="0" w:space="0" w:color="auto"/>
        <w:right w:val="none" w:sz="0" w:space="0" w:color="auto"/>
      </w:divBdr>
    </w:div>
    <w:div w:id="313220415">
      <w:bodyDiv w:val="1"/>
      <w:marLeft w:val="0"/>
      <w:marRight w:val="0"/>
      <w:marTop w:val="0"/>
      <w:marBottom w:val="0"/>
      <w:divBdr>
        <w:top w:val="none" w:sz="0" w:space="0" w:color="auto"/>
        <w:left w:val="none" w:sz="0" w:space="0" w:color="auto"/>
        <w:bottom w:val="none" w:sz="0" w:space="0" w:color="auto"/>
        <w:right w:val="none" w:sz="0" w:space="0" w:color="auto"/>
      </w:divBdr>
    </w:div>
    <w:div w:id="412774536">
      <w:bodyDiv w:val="1"/>
      <w:marLeft w:val="0"/>
      <w:marRight w:val="0"/>
      <w:marTop w:val="0"/>
      <w:marBottom w:val="0"/>
      <w:divBdr>
        <w:top w:val="none" w:sz="0" w:space="0" w:color="auto"/>
        <w:left w:val="none" w:sz="0" w:space="0" w:color="auto"/>
        <w:bottom w:val="none" w:sz="0" w:space="0" w:color="auto"/>
        <w:right w:val="none" w:sz="0" w:space="0" w:color="auto"/>
      </w:divBdr>
    </w:div>
    <w:div w:id="415908210">
      <w:bodyDiv w:val="1"/>
      <w:marLeft w:val="0"/>
      <w:marRight w:val="0"/>
      <w:marTop w:val="0"/>
      <w:marBottom w:val="0"/>
      <w:divBdr>
        <w:top w:val="none" w:sz="0" w:space="0" w:color="auto"/>
        <w:left w:val="none" w:sz="0" w:space="0" w:color="auto"/>
        <w:bottom w:val="none" w:sz="0" w:space="0" w:color="auto"/>
        <w:right w:val="none" w:sz="0" w:space="0" w:color="auto"/>
      </w:divBdr>
    </w:div>
    <w:div w:id="467555492">
      <w:bodyDiv w:val="1"/>
      <w:marLeft w:val="0"/>
      <w:marRight w:val="0"/>
      <w:marTop w:val="0"/>
      <w:marBottom w:val="0"/>
      <w:divBdr>
        <w:top w:val="none" w:sz="0" w:space="0" w:color="auto"/>
        <w:left w:val="none" w:sz="0" w:space="0" w:color="auto"/>
        <w:bottom w:val="none" w:sz="0" w:space="0" w:color="auto"/>
        <w:right w:val="none" w:sz="0" w:space="0" w:color="auto"/>
      </w:divBdr>
    </w:div>
    <w:div w:id="509220341">
      <w:bodyDiv w:val="1"/>
      <w:marLeft w:val="0"/>
      <w:marRight w:val="0"/>
      <w:marTop w:val="0"/>
      <w:marBottom w:val="0"/>
      <w:divBdr>
        <w:top w:val="none" w:sz="0" w:space="0" w:color="auto"/>
        <w:left w:val="none" w:sz="0" w:space="0" w:color="auto"/>
        <w:bottom w:val="none" w:sz="0" w:space="0" w:color="auto"/>
        <w:right w:val="none" w:sz="0" w:space="0" w:color="auto"/>
      </w:divBdr>
    </w:div>
    <w:div w:id="514655207">
      <w:bodyDiv w:val="1"/>
      <w:marLeft w:val="0"/>
      <w:marRight w:val="0"/>
      <w:marTop w:val="0"/>
      <w:marBottom w:val="0"/>
      <w:divBdr>
        <w:top w:val="none" w:sz="0" w:space="0" w:color="auto"/>
        <w:left w:val="none" w:sz="0" w:space="0" w:color="auto"/>
        <w:bottom w:val="none" w:sz="0" w:space="0" w:color="auto"/>
        <w:right w:val="none" w:sz="0" w:space="0" w:color="auto"/>
      </w:divBdr>
    </w:div>
    <w:div w:id="520704741">
      <w:bodyDiv w:val="1"/>
      <w:marLeft w:val="0"/>
      <w:marRight w:val="0"/>
      <w:marTop w:val="0"/>
      <w:marBottom w:val="0"/>
      <w:divBdr>
        <w:top w:val="none" w:sz="0" w:space="0" w:color="auto"/>
        <w:left w:val="none" w:sz="0" w:space="0" w:color="auto"/>
        <w:bottom w:val="none" w:sz="0" w:space="0" w:color="auto"/>
        <w:right w:val="none" w:sz="0" w:space="0" w:color="auto"/>
      </w:divBdr>
    </w:div>
    <w:div w:id="533808742">
      <w:bodyDiv w:val="1"/>
      <w:marLeft w:val="0"/>
      <w:marRight w:val="0"/>
      <w:marTop w:val="0"/>
      <w:marBottom w:val="0"/>
      <w:divBdr>
        <w:top w:val="none" w:sz="0" w:space="0" w:color="auto"/>
        <w:left w:val="none" w:sz="0" w:space="0" w:color="auto"/>
        <w:bottom w:val="none" w:sz="0" w:space="0" w:color="auto"/>
        <w:right w:val="none" w:sz="0" w:space="0" w:color="auto"/>
      </w:divBdr>
    </w:div>
    <w:div w:id="599993718">
      <w:bodyDiv w:val="1"/>
      <w:marLeft w:val="0"/>
      <w:marRight w:val="0"/>
      <w:marTop w:val="0"/>
      <w:marBottom w:val="0"/>
      <w:divBdr>
        <w:top w:val="none" w:sz="0" w:space="0" w:color="auto"/>
        <w:left w:val="none" w:sz="0" w:space="0" w:color="auto"/>
        <w:bottom w:val="none" w:sz="0" w:space="0" w:color="auto"/>
        <w:right w:val="none" w:sz="0" w:space="0" w:color="auto"/>
      </w:divBdr>
    </w:div>
    <w:div w:id="624190732">
      <w:bodyDiv w:val="1"/>
      <w:marLeft w:val="0"/>
      <w:marRight w:val="0"/>
      <w:marTop w:val="0"/>
      <w:marBottom w:val="0"/>
      <w:divBdr>
        <w:top w:val="none" w:sz="0" w:space="0" w:color="auto"/>
        <w:left w:val="none" w:sz="0" w:space="0" w:color="auto"/>
        <w:bottom w:val="none" w:sz="0" w:space="0" w:color="auto"/>
        <w:right w:val="none" w:sz="0" w:space="0" w:color="auto"/>
      </w:divBdr>
    </w:div>
    <w:div w:id="665939341">
      <w:bodyDiv w:val="1"/>
      <w:marLeft w:val="0"/>
      <w:marRight w:val="0"/>
      <w:marTop w:val="0"/>
      <w:marBottom w:val="0"/>
      <w:divBdr>
        <w:top w:val="none" w:sz="0" w:space="0" w:color="auto"/>
        <w:left w:val="none" w:sz="0" w:space="0" w:color="auto"/>
        <w:bottom w:val="none" w:sz="0" w:space="0" w:color="auto"/>
        <w:right w:val="none" w:sz="0" w:space="0" w:color="auto"/>
      </w:divBdr>
    </w:div>
    <w:div w:id="684525514">
      <w:bodyDiv w:val="1"/>
      <w:marLeft w:val="0"/>
      <w:marRight w:val="0"/>
      <w:marTop w:val="0"/>
      <w:marBottom w:val="0"/>
      <w:divBdr>
        <w:top w:val="none" w:sz="0" w:space="0" w:color="auto"/>
        <w:left w:val="none" w:sz="0" w:space="0" w:color="auto"/>
        <w:bottom w:val="none" w:sz="0" w:space="0" w:color="auto"/>
        <w:right w:val="none" w:sz="0" w:space="0" w:color="auto"/>
      </w:divBdr>
    </w:div>
    <w:div w:id="705910805">
      <w:bodyDiv w:val="1"/>
      <w:marLeft w:val="0"/>
      <w:marRight w:val="0"/>
      <w:marTop w:val="0"/>
      <w:marBottom w:val="0"/>
      <w:divBdr>
        <w:top w:val="none" w:sz="0" w:space="0" w:color="auto"/>
        <w:left w:val="none" w:sz="0" w:space="0" w:color="auto"/>
        <w:bottom w:val="none" w:sz="0" w:space="0" w:color="auto"/>
        <w:right w:val="none" w:sz="0" w:space="0" w:color="auto"/>
      </w:divBdr>
    </w:div>
    <w:div w:id="722608050">
      <w:bodyDiv w:val="1"/>
      <w:marLeft w:val="0"/>
      <w:marRight w:val="0"/>
      <w:marTop w:val="0"/>
      <w:marBottom w:val="0"/>
      <w:divBdr>
        <w:top w:val="none" w:sz="0" w:space="0" w:color="auto"/>
        <w:left w:val="none" w:sz="0" w:space="0" w:color="auto"/>
        <w:bottom w:val="none" w:sz="0" w:space="0" w:color="auto"/>
        <w:right w:val="none" w:sz="0" w:space="0" w:color="auto"/>
      </w:divBdr>
    </w:div>
    <w:div w:id="772357916">
      <w:bodyDiv w:val="1"/>
      <w:marLeft w:val="0"/>
      <w:marRight w:val="0"/>
      <w:marTop w:val="0"/>
      <w:marBottom w:val="0"/>
      <w:divBdr>
        <w:top w:val="none" w:sz="0" w:space="0" w:color="auto"/>
        <w:left w:val="none" w:sz="0" w:space="0" w:color="auto"/>
        <w:bottom w:val="none" w:sz="0" w:space="0" w:color="auto"/>
        <w:right w:val="none" w:sz="0" w:space="0" w:color="auto"/>
      </w:divBdr>
    </w:div>
    <w:div w:id="791364169">
      <w:bodyDiv w:val="1"/>
      <w:marLeft w:val="0"/>
      <w:marRight w:val="0"/>
      <w:marTop w:val="0"/>
      <w:marBottom w:val="0"/>
      <w:divBdr>
        <w:top w:val="none" w:sz="0" w:space="0" w:color="auto"/>
        <w:left w:val="none" w:sz="0" w:space="0" w:color="auto"/>
        <w:bottom w:val="none" w:sz="0" w:space="0" w:color="auto"/>
        <w:right w:val="none" w:sz="0" w:space="0" w:color="auto"/>
      </w:divBdr>
    </w:div>
    <w:div w:id="797064910">
      <w:bodyDiv w:val="1"/>
      <w:marLeft w:val="0"/>
      <w:marRight w:val="0"/>
      <w:marTop w:val="0"/>
      <w:marBottom w:val="0"/>
      <w:divBdr>
        <w:top w:val="none" w:sz="0" w:space="0" w:color="auto"/>
        <w:left w:val="none" w:sz="0" w:space="0" w:color="auto"/>
        <w:bottom w:val="none" w:sz="0" w:space="0" w:color="auto"/>
        <w:right w:val="none" w:sz="0" w:space="0" w:color="auto"/>
      </w:divBdr>
    </w:div>
    <w:div w:id="852769961">
      <w:bodyDiv w:val="1"/>
      <w:marLeft w:val="0"/>
      <w:marRight w:val="0"/>
      <w:marTop w:val="0"/>
      <w:marBottom w:val="0"/>
      <w:divBdr>
        <w:top w:val="none" w:sz="0" w:space="0" w:color="auto"/>
        <w:left w:val="none" w:sz="0" w:space="0" w:color="auto"/>
        <w:bottom w:val="none" w:sz="0" w:space="0" w:color="auto"/>
        <w:right w:val="none" w:sz="0" w:space="0" w:color="auto"/>
      </w:divBdr>
    </w:div>
    <w:div w:id="886065054">
      <w:bodyDiv w:val="1"/>
      <w:marLeft w:val="0"/>
      <w:marRight w:val="0"/>
      <w:marTop w:val="0"/>
      <w:marBottom w:val="0"/>
      <w:divBdr>
        <w:top w:val="none" w:sz="0" w:space="0" w:color="auto"/>
        <w:left w:val="none" w:sz="0" w:space="0" w:color="auto"/>
        <w:bottom w:val="none" w:sz="0" w:space="0" w:color="auto"/>
        <w:right w:val="none" w:sz="0" w:space="0" w:color="auto"/>
      </w:divBdr>
    </w:div>
    <w:div w:id="893926212">
      <w:bodyDiv w:val="1"/>
      <w:marLeft w:val="0"/>
      <w:marRight w:val="0"/>
      <w:marTop w:val="0"/>
      <w:marBottom w:val="0"/>
      <w:divBdr>
        <w:top w:val="none" w:sz="0" w:space="0" w:color="auto"/>
        <w:left w:val="none" w:sz="0" w:space="0" w:color="auto"/>
        <w:bottom w:val="none" w:sz="0" w:space="0" w:color="auto"/>
        <w:right w:val="none" w:sz="0" w:space="0" w:color="auto"/>
      </w:divBdr>
    </w:div>
    <w:div w:id="909342611">
      <w:bodyDiv w:val="1"/>
      <w:marLeft w:val="0"/>
      <w:marRight w:val="0"/>
      <w:marTop w:val="0"/>
      <w:marBottom w:val="0"/>
      <w:divBdr>
        <w:top w:val="none" w:sz="0" w:space="0" w:color="auto"/>
        <w:left w:val="none" w:sz="0" w:space="0" w:color="auto"/>
        <w:bottom w:val="none" w:sz="0" w:space="0" w:color="auto"/>
        <w:right w:val="none" w:sz="0" w:space="0" w:color="auto"/>
      </w:divBdr>
    </w:div>
    <w:div w:id="948387731">
      <w:bodyDiv w:val="1"/>
      <w:marLeft w:val="0"/>
      <w:marRight w:val="0"/>
      <w:marTop w:val="0"/>
      <w:marBottom w:val="0"/>
      <w:divBdr>
        <w:top w:val="none" w:sz="0" w:space="0" w:color="auto"/>
        <w:left w:val="none" w:sz="0" w:space="0" w:color="auto"/>
        <w:bottom w:val="none" w:sz="0" w:space="0" w:color="auto"/>
        <w:right w:val="none" w:sz="0" w:space="0" w:color="auto"/>
      </w:divBdr>
    </w:div>
    <w:div w:id="950206524">
      <w:bodyDiv w:val="1"/>
      <w:marLeft w:val="0"/>
      <w:marRight w:val="0"/>
      <w:marTop w:val="0"/>
      <w:marBottom w:val="0"/>
      <w:divBdr>
        <w:top w:val="none" w:sz="0" w:space="0" w:color="auto"/>
        <w:left w:val="none" w:sz="0" w:space="0" w:color="auto"/>
        <w:bottom w:val="none" w:sz="0" w:space="0" w:color="auto"/>
        <w:right w:val="none" w:sz="0" w:space="0" w:color="auto"/>
      </w:divBdr>
    </w:div>
    <w:div w:id="952634433">
      <w:bodyDiv w:val="1"/>
      <w:marLeft w:val="0"/>
      <w:marRight w:val="0"/>
      <w:marTop w:val="0"/>
      <w:marBottom w:val="0"/>
      <w:divBdr>
        <w:top w:val="none" w:sz="0" w:space="0" w:color="auto"/>
        <w:left w:val="none" w:sz="0" w:space="0" w:color="auto"/>
        <w:bottom w:val="none" w:sz="0" w:space="0" w:color="auto"/>
        <w:right w:val="none" w:sz="0" w:space="0" w:color="auto"/>
      </w:divBdr>
    </w:div>
    <w:div w:id="964695929">
      <w:bodyDiv w:val="1"/>
      <w:marLeft w:val="0"/>
      <w:marRight w:val="0"/>
      <w:marTop w:val="0"/>
      <w:marBottom w:val="0"/>
      <w:divBdr>
        <w:top w:val="none" w:sz="0" w:space="0" w:color="auto"/>
        <w:left w:val="none" w:sz="0" w:space="0" w:color="auto"/>
        <w:bottom w:val="none" w:sz="0" w:space="0" w:color="auto"/>
        <w:right w:val="none" w:sz="0" w:space="0" w:color="auto"/>
      </w:divBdr>
    </w:div>
    <w:div w:id="1031879034">
      <w:bodyDiv w:val="1"/>
      <w:marLeft w:val="0"/>
      <w:marRight w:val="0"/>
      <w:marTop w:val="0"/>
      <w:marBottom w:val="0"/>
      <w:divBdr>
        <w:top w:val="none" w:sz="0" w:space="0" w:color="auto"/>
        <w:left w:val="none" w:sz="0" w:space="0" w:color="auto"/>
        <w:bottom w:val="none" w:sz="0" w:space="0" w:color="auto"/>
        <w:right w:val="none" w:sz="0" w:space="0" w:color="auto"/>
      </w:divBdr>
    </w:div>
    <w:div w:id="1058093089">
      <w:bodyDiv w:val="1"/>
      <w:marLeft w:val="0"/>
      <w:marRight w:val="0"/>
      <w:marTop w:val="0"/>
      <w:marBottom w:val="0"/>
      <w:divBdr>
        <w:top w:val="none" w:sz="0" w:space="0" w:color="auto"/>
        <w:left w:val="none" w:sz="0" w:space="0" w:color="auto"/>
        <w:bottom w:val="none" w:sz="0" w:space="0" w:color="auto"/>
        <w:right w:val="none" w:sz="0" w:space="0" w:color="auto"/>
      </w:divBdr>
    </w:div>
    <w:div w:id="1088575348">
      <w:bodyDiv w:val="1"/>
      <w:marLeft w:val="0"/>
      <w:marRight w:val="0"/>
      <w:marTop w:val="0"/>
      <w:marBottom w:val="0"/>
      <w:divBdr>
        <w:top w:val="none" w:sz="0" w:space="0" w:color="auto"/>
        <w:left w:val="none" w:sz="0" w:space="0" w:color="auto"/>
        <w:bottom w:val="none" w:sz="0" w:space="0" w:color="auto"/>
        <w:right w:val="none" w:sz="0" w:space="0" w:color="auto"/>
      </w:divBdr>
    </w:div>
    <w:div w:id="1101803386">
      <w:bodyDiv w:val="1"/>
      <w:marLeft w:val="0"/>
      <w:marRight w:val="0"/>
      <w:marTop w:val="0"/>
      <w:marBottom w:val="0"/>
      <w:divBdr>
        <w:top w:val="none" w:sz="0" w:space="0" w:color="auto"/>
        <w:left w:val="none" w:sz="0" w:space="0" w:color="auto"/>
        <w:bottom w:val="none" w:sz="0" w:space="0" w:color="auto"/>
        <w:right w:val="none" w:sz="0" w:space="0" w:color="auto"/>
      </w:divBdr>
    </w:div>
    <w:div w:id="1102069625">
      <w:bodyDiv w:val="1"/>
      <w:marLeft w:val="0"/>
      <w:marRight w:val="0"/>
      <w:marTop w:val="0"/>
      <w:marBottom w:val="0"/>
      <w:divBdr>
        <w:top w:val="none" w:sz="0" w:space="0" w:color="auto"/>
        <w:left w:val="none" w:sz="0" w:space="0" w:color="auto"/>
        <w:bottom w:val="none" w:sz="0" w:space="0" w:color="auto"/>
        <w:right w:val="none" w:sz="0" w:space="0" w:color="auto"/>
      </w:divBdr>
    </w:div>
    <w:div w:id="1145202528">
      <w:bodyDiv w:val="1"/>
      <w:marLeft w:val="0"/>
      <w:marRight w:val="0"/>
      <w:marTop w:val="0"/>
      <w:marBottom w:val="0"/>
      <w:divBdr>
        <w:top w:val="none" w:sz="0" w:space="0" w:color="auto"/>
        <w:left w:val="none" w:sz="0" w:space="0" w:color="auto"/>
        <w:bottom w:val="none" w:sz="0" w:space="0" w:color="auto"/>
        <w:right w:val="none" w:sz="0" w:space="0" w:color="auto"/>
      </w:divBdr>
    </w:div>
    <w:div w:id="1167088707">
      <w:bodyDiv w:val="1"/>
      <w:marLeft w:val="0"/>
      <w:marRight w:val="0"/>
      <w:marTop w:val="0"/>
      <w:marBottom w:val="0"/>
      <w:divBdr>
        <w:top w:val="none" w:sz="0" w:space="0" w:color="auto"/>
        <w:left w:val="none" w:sz="0" w:space="0" w:color="auto"/>
        <w:bottom w:val="none" w:sz="0" w:space="0" w:color="auto"/>
        <w:right w:val="none" w:sz="0" w:space="0" w:color="auto"/>
      </w:divBdr>
    </w:div>
    <w:div w:id="1209877087">
      <w:bodyDiv w:val="1"/>
      <w:marLeft w:val="0"/>
      <w:marRight w:val="0"/>
      <w:marTop w:val="0"/>
      <w:marBottom w:val="0"/>
      <w:divBdr>
        <w:top w:val="none" w:sz="0" w:space="0" w:color="auto"/>
        <w:left w:val="none" w:sz="0" w:space="0" w:color="auto"/>
        <w:bottom w:val="none" w:sz="0" w:space="0" w:color="auto"/>
        <w:right w:val="none" w:sz="0" w:space="0" w:color="auto"/>
      </w:divBdr>
    </w:div>
    <w:div w:id="1211263272">
      <w:bodyDiv w:val="1"/>
      <w:marLeft w:val="0"/>
      <w:marRight w:val="0"/>
      <w:marTop w:val="0"/>
      <w:marBottom w:val="0"/>
      <w:divBdr>
        <w:top w:val="none" w:sz="0" w:space="0" w:color="auto"/>
        <w:left w:val="none" w:sz="0" w:space="0" w:color="auto"/>
        <w:bottom w:val="none" w:sz="0" w:space="0" w:color="auto"/>
        <w:right w:val="none" w:sz="0" w:space="0" w:color="auto"/>
      </w:divBdr>
    </w:div>
    <w:div w:id="1276252895">
      <w:bodyDiv w:val="1"/>
      <w:marLeft w:val="0"/>
      <w:marRight w:val="0"/>
      <w:marTop w:val="0"/>
      <w:marBottom w:val="0"/>
      <w:divBdr>
        <w:top w:val="none" w:sz="0" w:space="0" w:color="auto"/>
        <w:left w:val="none" w:sz="0" w:space="0" w:color="auto"/>
        <w:bottom w:val="none" w:sz="0" w:space="0" w:color="auto"/>
        <w:right w:val="none" w:sz="0" w:space="0" w:color="auto"/>
      </w:divBdr>
    </w:div>
    <w:div w:id="1276326248">
      <w:bodyDiv w:val="1"/>
      <w:marLeft w:val="0"/>
      <w:marRight w:val="0"/>
      <w:marTop w:val="0"/>
      <w:marBottom w:val="0"/>
      <w:divBdr>
        <w:top w:val="none" w:sz="0" w:space="0" w:color="auto"/>
        <w:left w:val="none" w:sz="0" w:space="0" w:color="auto"/>
        <w:bottom w:val="none" w:sz="0" w:space="0" w:color="auto"/>
        <w:right w:val="none" w:sz="0" w:space="0" w:color="auto"/>
      </w:divBdr>
    </w:div>
    <w:div w:id="1287202131">
      <w:bodyDiv w:val="1"/>
      <w:marLeft w:val="0"/>
      <w:marRight w:val="0"/>
      <w:marTop w:val="0"/>
      <w:marBottom w:val="0"/>
      <w:divBdr>
        <w:top w:val="none" w:sz="0" w:space="0" w:color="auto"/>
        <w:left w:val="none" w:sz="0" w:space="0" w:color="auto"/>
        <w:bottom w:val="none" w:sz="0" w:space="0" w:color="auto"/>
        <w:right w:val="none" w:sz="0" w:space="0" w:color="auto"/>
      </w:divBdr>
    </w:div>
    <w:div w:id="1303391294">
      <w:bodyDiv w:val="1"/>
      <w:marLeft w:val="0"/>
      <w:marRight w:val="0"/>
      <w:marTop w:val="0"/>
      <w:marBottom w:val="0"/>
      <w:divBdr>
        <w:top w:val="none" w:sz="0" w:space="0" w:color="auto"/>
        <w:left w:val="none" w:sz="0" w:space="0" w:color="auto"/>
        <w:bottom w:val="none" w:sz="0" w:space="0" w:color="auto"/>
        <w:right w:val="none" w:sz="0" w:space="0" w:color="auto"/>
      </w:divBdr>
    </w:div>
    <w:div w:id="1333026245">
      <w:bodyDiv w:val="1"/>
      <w:marLeft w:val="0"/>
      <w:marRight w:val="0"/>
      <w:marTop w:val="0"/>
      <w:marBottom w:val="0"/>
      <w:divBdr>
        <w:top w:val="none" w:sz="0" w:space="0" w:color="auto"/>
        <w:left w:val="none" w:sz="0" w:space="0" w:color="auto"/>
        <w:bottom w:val="none" w:sz="0" w:space="0" w:color="auto"/>
        <w:right w:val="none" w:sz="0" w:space="0" w:color="auto"/>
      </w:divBdr>
    </w:div>
    <w:div w:id="1377969061">
      <w:bodyDiv w:val="1"/>
      <w:marLeft w:val="0"/>
      <w:marRight w:val="0"/>
      <w:marTop w:val="0"/>
      <w:marBottom w:val="0"/>
      <w:divBdr>
        <w:top w:val="none" w:sz="0" w:space="0" w:color="auto"/>
        <w:left w:val="none" w:sz="0" w:space="0" w:color="auto"/>
        <w:bottom w:val="none" w:sz="0" w:space="0" w:color="auto"/>
        <w:right w:val="none" w:sz="0" w:space="0" w:color="auto"/>
      </w:divBdr>
    </w:div>
    <w:div w:id="1382484765">
      <w:bodyDiv w:val="1"/>
      <w:marLeft w:val="0"/>
      <w:marRight w:val="0"/>
      <w:marTop w:val="0"/>
      <w:marBottom w:val="0"/>
      <w:divBdr>
        <w:top w:val="none" w:sz="0" w:space="0" w:color="auto"/>
        <w:left w:val="none" w:sz="0" w:space="0" w:color="auto"/>
        <w:bottom w:val="none" w:sz="0" w:space="0" w:color="auto"/>
        <w:right w:val="none" w:sz="0" w:space="0" w:color="auto"/>
      </w:divBdr>
    </w:div>
    <w:div w:id="1388996411">
      <w:bodyDiv w:val="1"/>
      <w:marLeft w:val="0"/>
      <w:marRight w:val="0"/>
      <w:marTop w:val="0"/>
      <w:marBottom w:val="0"/>
      <w:divBdr>
        <w:top w:val="none" w:sz="0" w:space="0" w:color="auto"/>
        <w:left w:val="none" w:sz="0" w:space="0" w:color="auto"/>
        <w:bottom w:val="none" w:sz="0" w:space="0" w:color="auto"/>
        <w:right w:val="none" w:sz="0" w:space="0" w:color="auto"/>
      </w:divBdr>
    </w:div>
    <w:div w:id="1440299104">
      <w:bodyDiv w:val="1"/>
      <w:marLeft w:val="0"/>
      <w:marRight w:val="0"/>
      <w:marTop w:val="0"/>
      <w:marBottom w:val="0"/>
      <w:divBdr>
        <w:top w:val="none" w:sz="0" w:space="0" w:color="auto"/>
        <w:left w:val="none" w:sz="0" w:space="0" w:color="auto"/>
        <w:bottom w:val="none" w:sz="0" w:space="0" w:color="auto"/>
        <w:right w:val="none" w:sz="0" w:space="0" w:color="auto"/>
      </w:divBdr>
    </w:div>
    <w:div w:id="1441755151">
      <w:bodyDiv w:val="1"/>
      <w:marLeft w:val="0"/>
      <w:marRight w:val="0"/>
      <w:marTop w:val="0"/>
      <w:marBottom w:val="0"/>
      <w:divBdr>
        <w:top w:val="none" w:sz="0" w:space="0" w:color="auto"/>
        <w:left w:val="none" w:sz="0" w:space="0" w:color="auto"/>
        <w:bottom w:val="none" w:sz="0" w:space="0" w:color="auto"/>
        <w:right w:val="none" w:sz="0" w:space="0" w:color="auto"/>
      </w:divBdr>
    </w:div>
    <w:div w:id="1474563660">
      <w:bodyDiv w:val="1"/>
      <w:marLeft w:val="0"/>
      <w:marRight w:val="0"/>
      <w:marTop w:val="0"/>
      <w:marBottom w:val="0"/>
      <w:divBdr>
        <w:top w:val="none" w:sz="0" w:space="0" w:color="auto"/>
        <w:left w:val="none" w:sz="0" w:space="0" w:color="auto"/>
        <w:bottom w:val="none" w:sz="0" w:space="0" w:color="auto"/>
        <w:right w:val="none" w:sz="0" w:space="0" w:color="auto"/>
      </w:divBdr>
    </w:div>
    <w:div w:id="1475290495">
      <w:bodyDiv w:val="1"/>
      <w:marLeft w:val="0"/>
      <w:marRight w:val="0"/>
      <w:marTop w:val="0"/>
      <w:marBottom w:val="0"/>
      <w:divBdr>
        <w:top w:val="none" w:sz="0" w:space="0" w:color="auto"/>
        <w:left w:val="none" w:sz="0" w:space="0" w:color="auto"/>
        <w:bottom w:val="none" w:sz="0" w:space="0" w:color="auto"/>
        <w:right w:val="none" w:sz="0" w:space="0" w:color="auto"/>
      </w:divBdr>
    </w:div>
    <w:div w:id="1485469371">
      <w:bodyDiv w:val="1"/>
      <w:marLeft w:val="0"/>
      <w:marRight w:val="0"/>
      <w:marTop w:val="0"/>
      <w:marBottom w:val="0"/>
      <w:divBdr>
        <w:top w:val="none" w:sz="0" w:space="0" w:color="auto"/>
        <w:left w:val="none" w:sz="0" w:space="0" w:color="auto"/>
        <w:bottom w:val="none" w:sz="0" w:space="0" w:color="auto"/>
        <w:right w:val="none" w:sz="0" w:space="0" w:color="auto"/>
      </w:divBdr>
    </w:div>
    <w:div w:id="1493912365">
      <w:bodyDiv w:val="1"/>
      <w:marLeft w:val="0"/>
      <w:marRight w:val="0"/>
      <w:marTop w:val="0"/>
      <w:marBottom w:val="0"/>
      <w:divBdr>
        <w:top w:val="none" w:sz="0" w:space="0" w:color="auto"/>
        <w:left w:val="none" w:sz="0" w:space="0" w:color="auto"/>
        <w:bottom w:val="none" w:sz="0" w:space="0" w:color="auto"/>
        <w:right w:val="none" w:sz="0" w:space="0" w:color="auto"/>
      </w:divBdr>
    </w:div>
    <w:div w:id="1507092109">
      <w:bodyDiv w:val="1"/>
      <w:marLeft w:val="0"/>
      <w:marRight w:val="0"/>
      <w:marTop w:val="0"/>
      <w:marBottom w:val="0"/>
      <w:divBdr>
        <w:top w:val="none" w:sz="0" w:space="0" w:color="auto"/>
        <w:left w:val="none" w:sz="0" w:space="0" w:color="auto"/>
        <w:bottom w:val="none" w:sz="0" w:space="0" w:color="auto"/>
        <w:right w:val="none" w:sz="0" w:space="0" w:color="auto"/>
      </w:divBdr>
    </w:div>
    <w:div w:id="1519344064">
      <w:bodyDiv w:val="1"/>
      <w:marLeft w:val="0"/>
      <w:marRight w:val="0"/>
      <w:marTop w:val="0"/>
      <w:marBottom w:val="0"/>
      <w:divBdr>
        <w:top w:val="none" w:sz="0" w:space="0" w:color="auto"/>
        <w:left w:val="none" w:sz="0" w:space="0" w:color="auto"/>
        <w:bottom w:val="none" w:sz="0" w:space="0" w:color="auto"/>
        <w:right w:val="none" w:sz="0" w:space="0" w:color="auto"/>
      </w:divBdr>
    </w:div>
    <w:div w:id="1520856080">
      <w:bodyDiv w:val="1"/>
      <w:marLeft w:val="0"/>
      <w:marRight w:val="0"/>
      <w:marTop w:val="0"/>
      <w:marBottom w:val="0"/>
      <w:divBdr>
        <w:top w:val="none" w:sz="0" w:space="0" w:color="auto"/>
        <w:left w:val="none" w:sz="0" w:space="0" w:color="auto"/>
        <w:bottom w:val="none" w:sz="0" w:space="0" w:color="auto"/>
        <w:right w:val="none" w:sz="0" w:space="0" w:color="auto"/>
      </w:divBdr>
    </w:div>
    <w:div w:id="1695763757">
      <w:bodyDiv w:val="1"/>
      <w:marLeft w:val="0"/>
      <w:marRight w:val="0"/>
      <w:marTop w:val="0"/>
      <w:marBottom w:val="0"/>
      <w:divBdr>
        <w:top w:val="none" w:sz="0" w:space="0" w:color="auto"/>
        <w:left w:val="none" w:sz="0" w:space="0" w:color="auto"/>
        <w:bottom w:val="none" w:sz="0" w:space="0" w:color="auto"/>
        <w:right w:val="none" w:sz="0" w:space="0" w:color="auto"/>
      </w:divBdr>
    </w:div>
    <w:div w:id="1728913411">
      <w:bodyDiv w:val="1"/>
      <w:marLeft w:val="0"/>
      <w:marRight w:val="0"/>
      <w:marTop w:val="0"/>
      <w:marBottom w:val="0"/>
      <w:divBdr>
        <w:top w:val="none" w:sz="0" w:space="0" w:color="auto"/>
        <w:left w:val="none" w:sz="0" w:space="0" w:color="auto"/>
        <w:bottom w:val="none" w:sz="0" w:space="0" w:color="auto"/>
        <w:right w:val="none" w:sz="0" w:space="0" w:color="auto"/>
      </w:divBdr>
    </w:div>
    <w:div w:id="1743213677">
      <w:bodyDiv w:val="1"/>
      <w:marLeft w:val="0"/>
      <w:marRight w:val="0"/>
      <w:marTop w:val="0"/>
      <w:marBottom w:val="0"/>
      <w:divBdr>
        <w:top w:val="none" w:sz="0" w:space="0" w:color="auto"/>
        <w:left w:val="none" w:sz="0" w:space="0" w:color="auto"/>
        <w:bottom w:val="none" w:sz="0" w:space="0" w:color="auto"/>
        <w:right w:val="none" w:sz="0" w:space="0" w:color="auto"/>
      </w:divBdr>
    </w:div>
    <w:div w:id="1789086261">
      <w:bodyDiv w:val="1"/>
      <w:marLeft w:val="0"/>
      <w:marRight w:val="0"/>
      <w:marTop w:val="0"/>
      <w:marBottom w:val="0"/>
      <w:divBdr>
        <w:top w:val="none" w:sz="0" w:space="0" w:color="auto"/>
        <w:left w:val="none" w:sz="0" w:space="0" w:color="auto"/>
        <w:bottom w:val="none" w:sz="0" w:space="0" w:color="auto"/>
        <w:right w:val="none" w:sz="0" w:space="0" w:color="auto"/>
      </w:divBdr>
    </w:div>
    <w:div w:id="1822237936">
      <w:bodyDiv w:val="1"/>
      <w:marLeft w:val="0"/>
      <w:marRight w:val="0"/>
      <w:marTop w:val="0"/>
      <w:marBottom w:val="0"/>
      <w:divBdr>
        <w:top w:val="none" w:sz="0" w:space="0" w:color="auto"/>
        <w:left w:val="none" w:sz="0" w:space="0" w:color="auto"/>
        <w:bottom w:val="none" w:sz="0" w:space="0" w:color="auto"/>
        <w:right w:val="none" w:sz="0" w:space="0" w:color="auto"/>
      </w:divBdr>
    </w:div>
    <w:div w:id="1872644803">
      <w:bodyDiv w:val="1"/>
      <w:marLeft w:val="0"/>
      <w:marRight w:val="0"/>
      <w:marTop w:val="0"/>
      <w:marBottom w:val="0"/>
      <w:divBdr>
        <w:top w:val="none" w:sz="0" w:space="0" w:color="auto"/>
        <w:left w:val="none" w:sz="0" w:space="0" w:color="auto"/>
        <w:bottom w:val="none" w:sz="0" w:space="0" w:color="auto"/>
        <w:right w:val="none" w:sz="0" w:space="0" w:color="auto"/>
      </w:divBdr>
    </w:div>
    <w:div w:id="1906722290">
      <w:bodyDiv w:val="1"/>
      <w:marLeft w:val="0"/>
      <w:marRight w:val="0"/>
      <w:marTop w:val="0"/>
      <w:marBottom w:val="0"/>
      <w:divBdr>
        <w:top w:val="none" w:sz="0" w:space="0" w:color="auto"/>
        <w:left w:val="none" w:sz="0" w:space="0" w:color="auto"/>
        <w:bottom w:val="none" w:sz="0" w:space="0" w:color="auto"/>
        <w:right w:val="none" w:sz="0" w:space="0" w:color="auto"/>
      </w:divBdr>
    </w:div>
    <w:div w:id="1924996604">
      <w:bodyDiv w:val="1"/>
      <w:marLeft w:val="0"/>
      <w:marRight w:val="0"/>
      <w:marTop w:val="0"/>
      <w:marBottom w:val="0"/>
      <w:divBdr>
        <w:top w:val="none" w:sz="0" w:space="0" w:color="auto"/>
        <w:left w:val="none" w:sz="0" w:space="0" w:color="auto"/>
        <w:bottom w:val="none" w:sz="0" w:space="0" w:color="auto"/>
        <w:right w:val="none" w:sz="0" w:space="0" w:color="auto"/>
      </w:divBdr>
    </w:div>
    <w:div w:id="1944727005">
      <w:bodyDiv w:val="1"/>
      <w:marLeft w:val="0"/>
      <w:marRight w:val="0"/>
      <w:marTop w:val="0"/>
      <w:marBottom w:val="0"/>
      <w:divBdr>
        <w:top w:val="none" w:sz="0" w:space="0" w:color="auto"/>
        <w:left w:val="none" w:sz="0" w:space="0" w:color="auto"/>
        <w:bottom w:val="none" w:sz="0" w:space="0" w:color="auto"/>
        <w:right w:val="none" w:sz="0" w:space="0" w:color="auto"/>
      </w:divBdr>
    </w:div>
    <w:div w:id="1999991382">
      <w:bodyDiv w:val="1"/>
      <w:marLeft w:val="0"/>
      <w:marRight w:val="0"/>
      <w:marTop w:val="0"/>
      <w:marBottom w:val="0"/>
      <w:divBdr>
        <w:top w:val="none" w:sz="0" w:space="0" w:color="auto"/>
        <w:left w:val="none" w:sz="0" w:space="0" w:color="auto"/>
        <w:bottom w:val="none" w:sz="0" w:space="0" w:color="auto"/>
        <w:right w:val="none" w:sz="0" w:space="0" w:color="auto"/>
      </w:divBdr>
    </w:div>
    <w:div w:id="2060009858">
      <w:bodyDiv w:val="1"/>
      <w:marLeft w:val="0"/>
      <w:marRight w:val="0"/>
      <w:marTop w:val="0"/>
      <w:marBottom w:val="0"/>
      <w:divBdr>
        <w:top w:val="none" w:sz="0" w:space="0" w:color="auto"/>
        <w:left w:val="none" w:sz="0" w:space="0" w:color="auto"/>
        <w:bottom w:val="none" w:sz="0" w:space="0" w:color="auto"/>
        <w:right w:val="none" w:sz="0" w:space="0" w:color="auto"/>
      </w:divBdr>
    </w:div>
    <w:div w:id="2081561957">
      <w:bodyDiv w:val="1"/>
      <w:marLeft w:val="0"/>
      <w:marRight w:val="0"/>
      <w:marTop w:val="0"/>
      <w:marBottom w:val="0"/>
      <w:divBdr>
        <w:top w:val="none" w:sz="0" w:space="0" w:color="auto"/>
        <w:left w:val="none" w:sz="0" w:space="0" w:color="auto"/>
        <w:bottom w:val="none" w:sz="0" w:space="0" w:color="auto"/>
        <w:right w:val="none" w:sz="0" w:space="0" w:color="auto"/>
      </w:divBdr>
    </w:div>
    <w:div w:id="2083406030">
      <w:bodyDiv w:val="1"/>
      <w:marLeft w:val="0"/>
      <w:marRight w:val="0"/>
      <w:marTop w:val="0"/>
      <w:marBottom w:val="0"/>
      <w:divBdr>
        <w:top w:val="none" w:sz="0" w:space="0" w:color="auto"/>
        <w:left w:val="none" w:sz="0" w:space="0" w:color="auto"/>
        <w:bottom w:val="none" w:sz="0" w:space="0" w:color="auto"/>
        <w:right w:val="none" w:sz="0" w:space="0" w:color="auto"/>
      </w:divBdr>
    </w:div>
    <w:div w:id="2108578062">
      <w:bodyDiv w:val="1"/>
      <w:marLeft w:val="0"/>
      <w:marRight w:val="0"/>
      <w:marTop w:val="0"/>
      <w:marBottom w:val="0"/>
      <w:divBdr>
        <w:top w:val="none" w:sz="0" w:space="0" w:color="auto"/>
        <w:left w:val="none" w:sz="0" w:space="0" w:color="auto"/>
        <w:bottom w:val="none" w:sz="0" w:space="0" w:color="auto"/>
        <w:right w:val="none" w:sz="0" w:space="0" w:color="auto"/>
      </w:divBdr>
    </w:div>
    <w:div w:id="21375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A04C9-244C-4A5A-BA11-4095BE77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8</Pages>
  <Words>2241</Words>
  <Characters>12328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Ministerio Público</Company>
  <LinksUpToDate>false</LinksUpToDate>
  <CharactersWithSpaces>14540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Andrea Herrera Sanzana</dc:creator>
  <cp:keywords/>
  <cp:lastModifiedBy>Jocelyn Andrea Herrera Sanzana</cp:lastModifiedBy>
  <cp:revision>16</cp:revision>
  <cp:lastPrinted>2018-04-09T18:55:00Z</cp:lastPrinted>
  <dcterms:created xsi:type="dcterms:W3CDTF">2023-07-20T20:19:00Z</dcterms:created>
  <dcterms:modified xsi:type="dcterms:W3CDTF">2024-10-18T18:23:00Z</dcterms:modified>
</cp:coreProperties>
</file>